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714" w:rsidRPr="004A3714" w:rsidRDefault="004A3714" w:rsidP="004A3714">
      <w:pPr>
        <w:spacing w:after="408" w:line="734" w:lineRule="atLeast"/>
        <w:outlineLvl w:val="0"/>
        <w:rPr>
          <w:rFonts w:ascii="diaria_promedium" w:eastAsia="Times New Roman" w:hAnsi="diaria_promedium" w:cs="Arial"/>
          <w:color w:val="333333"/>
          <w:kern w:val="36"/>
          <w:sz w:val="57"/>
          <w:szCs w:val="57"/>
          <w:lang w:eastAsia="ru-RU"/>
        </w:rPr>
      </w:pPr>
      <w:r w:rsidRPr="004A3714">
        <w:rPr>
          <w:rFonts w:ascii="diaria_promedium" w:eastAsia="Times New Roman" w:hAnsi="diaria_promedium" w:cs="Arial"/>
          <w:color w:val="333333"/>
          <w:kern w:val="36"/>
          <w:sz w:val="57"/>
          <w:szCs w:val="57"/>
          <w:lang w:eastAsia="ru-RU"/>
        </w:rPr>
        <w:t>Будущие пенсионеры могут сменить страховщика</w:t>
      </w:r>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b/>
          <w:bCs/>
          <w:color w:val="333333"/>
          <w:lang w:eastAsia="ru-RU"/>
        </w:rPr>
        <w:t>До 30 декабря 2016 года граждане, у которых формируется накопительная пенсия, могут сменить страховщика по обязательному пенсионному страхованию. Страховщиком может выступать или Пенсионный фонд РФ, или негосударственный пенсионный фонд (НПФ) по вашему выбору.</w:t>
      </w:r>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 xml:space="preserve">Подать заявление о смене страховщика можно либо в клиентской службе ПФР, либо через «Личный кабинет гражданина» на сайте ПФР. </w:t>
      </w:r>
      <w:proofErr w:type="gramStart"/>
      <w:r w:rsidRPr="004A3714">
        <w:rPr>
          <w:rFonts w:ascii="diaria_promedium" w:eastAsia="Times New Roman" w:hAnsi="diaria_promedium" w:cs="Arial"/>
          <w:color w:val="333333"/>
          <w:lang w:eastAsia="ru-RU"/>
        </w:rPr>
        <w:t>Гражданам, собирающимся сделать выбор в пользу негосударственного пенсионного фонда, следует заранее заключить с выбранным НПФ договор об обязательном пенсионном страховании.</w:t>
      </w:r>
      <w:proofErr w:type="gramEnd"/>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Для выбора страховщика есть два вида заявлений: первый предполагает передачу средств пенсионных накоплений по истечении 5 лет с года подачи заявления, второй вид (о досрочном переходе) предполагает передачу средств уже в следующем году. При этом не забывайте – если вы меняете страховщика чаще чем раз в 5 лет, то ваши деньги будут переданы новому страховщику без учета инвестиционного дохода. Вам это невыгодно.</w:t>
      </w:r>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 xml:space="preserve">Также напоминаем, что у граждан 1967 года рождения и моложе остаётся право отказаться от дальнейшего формирования пенсионных накоплений, и направить страховые взносы, уплачиваемые работодателем, в полном объёме (16 %) на страховую пенсию путём подачи заявления. При этом все сформированные ранее пенсионные накопления останутся у граждан, будут по-прежнему </w:t>
      </w:r>
      <w:proofErr w:type="gramStart"/>
      <w:r w:rsidRPr="004A3714">
        <w:rPr>
          <w:rFonts w:ascii="diaria_promedium" w:eastAsia="Times New Roman" w:hAnsi="diaria_promedium" w:cs="Arial"/>
          <w:color w:val="333333"/>
          <w:lang w:eastAsia="ru-RU"/>
        </w:rPr>
        <w:t>инвестироваться</w:t>
      </w:r>
      <w:proofErr w:type="gramEnd"/>
      <w:r w:rsidRPr="004A3714">
        <w:rPr>
          <w:rFonts w:ascii="diaria_promedium" w:eastAsia="Times New Roman" w:hAnsi="diaria_promedium" w:cs="Arial"/>
          <w:color w:val="333333"/>
          <w:lang w:eastAsia="ru-RU"/>
        </w:rPr>
        <w:t xml:space="preserve"> и выплачиваться при выходе на пенсию.</w:t>
      </w:r>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Гражданам, имеющим регистрацию на Едином портале государственных услуг и квалифицированную электронную подпись (КЭП), дистанционно, т.е. через «Личный кабинет гражданина», доступны все возможные варианты распоряжения пенсионными накоплениями. Можно подать заявление в электронном виде на переход из ПФР в НПФ, возвращение из </w:t>
      </w:r>
      <w:proofErr w:type="spellStart"/>
      <w:r w:rsidRPr="004A3714">
        <w:rPr>
          <w:rFonts w:ascii="diaria_promedium" w:eastAsia="Times New Roman" w:hAnsi="diaria_promedium" w:cs="Arial"/>
          <w:color w:val="333333"/>
          <w:lang w:eastAsia="ru-RU"/>
        </w:rPr>
        <w:t>НПФобратно</w:t>
      </w:r>
      <w:proofErr w:type="spellEnd"/>
      <w:r w:rsidRPr="004A3714">
        <w:rPr>
          <w:rFonts w:ascii="diaria_promedium" w:eastAsia="Times New Roman" w:hAnsi="diaria_promedium" w:cs="Arial"/>
          <w:color w:val="333333"/>
          <w:lang w:eastAsia="ru-RU"/>
        </w:rPr>
        <w:t xml:space="preserve"> в ПФР, переход из одного НПФ в другой. Также дистанционно можно сменить управляющую компанию или инвестиционный портфель управляющей компании, если страховщиком гражданина является ПФР. Вне зависимости от того, где граждане формируют свои пенсионные накопления (ПФР или НПФ), сервис позволяет подать электронное заявление о прекращении их дальнейшего формирования в пользу страховой пенсии. Помимо этого граждане </w:t>
      </w:r>
      <w:r w:rsidRPr="004A3714">
        <w:rPr>
          <w:rFonts w:ascii="diaria_promedium" w:eastAsia="Times New Roman" w:hAnsi="diaria_promedium" w:cs="Arial"/>
          <w:color w:val="333333"/>
          <w:lang w:eastAsia="ru-RU"/>
        </w:rPr>
        <w:lastRenderedPageBreak/>
        <w:t>могут подать электронное заявление, где будут определены правопреемники средств пенсионных накоплений и то, в каких долях эти средства будут распределяться между ними.</w:t>
      </w:r>
    </w:p>
    <w:p w:rsidR="004A3714" w:rsidRPr="004A3714" w:rsidRDefault="004A3714" w:rsidP="004A3714">
      <w:pPr>
        <w:spacing w:after="408"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 xml:space="preserve">За помощью в регистрации на Едином портале </w:t>
      </w:r>
      <w:proofErr w:type="spellStart"/>
      <w:r w:rsidRPr="004A3714">
        <w:rPr>
          <w:rFonts w:ascii="diaria_promedium" w:eastAsia="Times New Roman" w:hAnsi="diaria_promedium" w:cs="Arial"/>
          <w:color w:val="333333"/>
          <w:lang w:eastAsia="ru-RU"/>
        </w:rPr>
        <w:t>госуслуг</w:t>
      </w:r>
      <w:proofErr w:type="spellEnd"/>
      <w:r w:rsidRPr="004A3714">
        <w:rPr>
          <w:rFonts w:ascii="diaria_promedium" w:eastAsia="Times New Roman" w:hAnsi="diaria_promedium" w:cs="Arial"/>
          <w:color w:val="333333"/>
          <w:lang w:eastAsia="ru-RU"/>
        </w:rPr>
        <w:t>, за подтверждением или восстановлением ранее созданной учётной записи можно обратиться в учреждение ПФР или Многофункциональный центр (МФЦ).</w:t>
      </w:r>
    </w:p>
    <w:p w:rsidR="004A3714" w:rsidRPr="004A3714" w:rsidRDefault="004A3714" w:rsidP="004A3714">
      <w:pPr>
        <w:spacing w:line="408" w:lineRule="atLeast"/>
        <w:textAlignment w:val="top"/>
        <w:rPr>
          <w:rFonts w:ascii="diaria_promedium" w:eastAsia="Times New Roman" w:hAnsi="diaria_promedium" w:cs="Arial"/>
          <w:color w:val="333333"/>
          <w:lang w:eastAsia="ru-RU"/>
        </w:rPr>
      </w:pPr>
      <w:r w:rsidRPr="004A3714">
        <w:rPr>
          <w:rFonts w:ascii="diaria_promedium" w:eastAsia="Times New Roman" w:hAnsi="diaria_promedium" w:cs="Arial"/>
          <w:color w:val="333333"/>
          <w:lang w:eastAsia="ru-RU"/>
        </w:rPr>
        <w:t>Помните! Только вы сами должны решить, кому в части формирования будущей пенсии вы больше доверяете – государству или частным компаниям.</w:t>
      </w:r>
    </w:p>
    <w:p w:rsidR="004A3714" w:rsidRPr="004A3714" w:rsidRDefault="004A3714" w:rsidP="004A3714">
      <w:pPr>
        <w:shd w:val="clear" w:color="auto" w:fill="241754"/>
        <w:spacing w:before="136" w:after="543" w:line="240" w:lineRule="auto"/>
        <w:rPr>
          <w:rFonts w:ascii="diaria_promedium" w:eastAsia="Times New Roman" w:hAnsi="diaria_promedium" w:cs="Arial"/>
          <w:color w:val="FFFFFF"/>
          <w:sz w:val="2"/>
          <w:szCs w:val="2"/>
          <w:lang w:eastAsia="ru-RU"/>
        </w:rPr>
      </w:pPr>
    </w:p>
    <w:p w:rsidR="004A3714" w:rsidRPr="004A3714" w:rsidRDefault="004A3714" w:rsidP="004A3714">
      <w:pPr>
        <w:pBdr>
          <w:top w:val="single" w:sz="6" w:space="1" w:color="auto"/>
        </w:pBdr>
        <w:spacing w:after="0" w:line="240" w:lineRule="auto"/>
        <w:jc w:val="center"/>
        <w:rPr>
          <w:rFonts w:ascii="Arial" w:eastAsia="Times New Roman" w:hAnsi="Arial" w:cs="Arial"/>
          <w:vanish/>
          <w:sz w:val="16"/>
          <w:szCs w:val="16"/>
          <w:lang w:eastAsia="ru-RU"/>
        </w:rPr>
      </w:pPr>
      <w:r w:rsidRPr="004A3714">
        <w:rPr>
          <w:rFonts w:ascii="Arial" w:eastAsia="Times New Roman" w:hAnsi="Arial" w:cs="Arial"/>
          <w:vanish/>
          <w:sz w:val="16"/>
          <w:szCs w:val="16"/>
          <w:lang w:eastAsia="ru-RU"/>
        </w:rPr>
        <w:t>Конец формы</w:t>
      </w:r>
    </w:p>
    <w:p w:rsidR="0091596E" w:rsidRDefault="004A3714"/>
    <w:p w:rsidR="004A3714" w:rsidRDefault="004A3714"/>
    <w:sectPr w:rsidR="004A3714" w:rsidSect="00B22C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diaria_promedium">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FE6884"/>
    <w:multiLevelType w:val="multilevel"/>
    <w:tmpl w:val="CEAC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A3714"/>
    <w:rsid w:val="0022663A"/>
    <w:rsid w:val="004A3714"/>
    <w:rsid w:val="00B15088"/>
    <w:rsid w:val="00B22C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C2F"/>
  </w:style>
  <w:style w:type="paragraph" w:styleId="1">
    <w:name w:val="heading 1"/>
    <w:basedOn w:val="a"/>
    <w:link w:val="10"/>
    <w:uiPriority w:val="9"/>
    <w:qFormat/>
    <w:rsid w:val="004A3714"/>
    <w:pPr>
      <w:spacing w:after="408" w:line="734" w:lineRule="atLeast"/>
      <w:outlineLvl w:val="0"/>
    </w:pPr>
    <w:rPr>
      <w:rFonts w:ascii="diaria_promedium" w:eastAsia="Times New Roman" w:hAnsi="diaria_promedium" w:cs="Times New Roman"/>
      <w:kern w:val="36"/>
      <w:sz w:val="57"/>
      <w:szCs w:val="5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3714"/>
    <w:rPr>
      <w:rFonts w:ascii="diaria_promedium" w:eastAsia="Times New Roman" w:hAnsi="diaria_promedium" w:cs="Times New Roman"/>
      <w:kern w:val="36"/>
      <w:sz w:val="57"/>
      <w:szCs w:val="57"/>
      <w:lang w:eastAsia="ru-RU"/>
    </w:rPr>
  </w:style>
  <w:style w:type="character" w:styleId="a3">
    <w:name w:val="Strong"/>
    <w:basedOn w:val="a0"/>
    <w:uiPriority w:val="22"/>
    <w:qFormat/>
    <w:rsid w:val="004A3714"/>
    <w:rPr>
      <w:rFonts w:ascii="diaria_promedium" w:hAnsi="diaria_promedium" w:hint="default"/>
      <w:b/>
      <w:bCs/>
      <w:sz w:val="22"/>
      <w:szCs w:val="22"/>
    </w:rPr>
  </w:style>
  <w:style w:type="paragraph" w:styleId="z-">
    <w:name w:val="HTML Top of Form"/>
    <w:basedOn w:val="a"/>
    <w:next w:val="a"/>
    <w:link w:val="z-0"/>
    <w:hidden/>
    <w:uiPriority w:val="99"/>
    <w:semiHidden/>
    <w:unhideWhenUsed/>
    <w:rsid w:val="004A371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A371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A371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A3714"/>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997226586">
      <w:bodyDiv w:val="1"/>
      <w:marLeft w:val="0"/>
      <w:marRight w:val="0"/>
      <w:marTop w:val="0"/>
      <w:marBottom w:val="0"/>
      <w:divBdr>
        <w:top w:val="none" w:sz="0" w:space="0" w:color="auto"/>
        <w:left w:val="none" w:sz="0" w:space="0" w:color="auto"/>
        <w:bottom w:val="none" w:sz="0" w:space="0" w:color="auto"/>
        <w:right w:val="none" w:sz="0" w:space="0" w:color="auto"/>
      </w:divBdr>
      <w:divsChild>
        <w:div w:id="1427848136">
          <w:marLeft w:val="0"/>
          <w:marRight w:val="0"/>
          <w:marTop w:val="0"/>
          <w:marBottom w:val="0"/>
          <w:divBdr>
            <w:top w:val="none" w:sz="0" w:space="0" w:color="auto"/>
            <w:left w:val="none" w:sz="0" w:space="0" w:color="auto"/>
            <w:bottom w:val="none" w:sz="0" w:space="0" w:color="auto"/>
            <w:right w:val="none" w:sz="0" w:space="0" w:color="auto"/>
          </w:divBdr>
          <w:divsChild>
            <w:div w:id="238754506">
              <w:marLeft w:val="0"/>
              <w:marRight w:val="0"/>
              <w:marTop w:val="0"/>
              <w:marBottom w:val="0"/>
              <w:divBdr>
                <w:top w:val="none" w:sz="0" w:space="0" w:color="auto"/>
                <w:left w:val="none" w:sz="0" w:space="0" w:color="auto"/>
                <w:bottom w:val="none" w:sz="0" w:space="0" w:color="auto"/>
                <w:right w:val="none" w:sz="0" w:space="0" w:color="auto"/>
              </w:divBdr>
              <w:divsChild>
                <w:div w:id="331104570">
                  <w:marLeft w:val="0"/>
                  <w:marRight w:val="0"/>
                  <w:marTop w:val="0"/>
                  <w:marBottom w:val="0"/>
                  <w:divBdr>
                    <w:top w:val="none" w:sz="0" w:space="0" w:color="auto"/>
                    <w:left w:val="none" w:sz="0" w:space="0" w:color="auto"/>
                    <w:bottom w:val="none" w:sz="0" w:space="0" w:color="auto"/>
                    <w:right w:val="none" w:sz="0" w:space="0" w:color="auto"/>
                  </w:divBdr>
                  <w:divsChild>
                    <w:div w:id="1776754844">
                      <w:marLeft w:val="0"/>
                      <w:marRight w:val="0"/>
                      <w:marTop w:val="0"/>
                      <w:marBottom w:val="679"/>
                      <w:divBdr>
                        <w:top w:val="none" w:sz="0" w:space="0" w:color="auto"/>
                        <w:left w:val="none" w:sz="0" w:space="0" w:color="auto"/>
                        <w:bottom w:val="none" w:sz="0" w:space="0" w:color="auto"/>
                        <w:right w:val="none" w:sz="0" w:space="0" w:color="auto"/>
                      </w:divBdr>
                      <w:divsChild>
                        <w:div w:id="248077972">
                          <w:marLeft w:val="0"/>
                          <w:marRight w:val="815"/>
                          <w:marTop w:val="0"/>
                          <w:marBottom w:val="0"/>
                          <w:divBdr>
                            <w:top w:val="none" w:sz="0" w:space="0" w:color="auto"/>
                            <w:left w:val="none" w:sz="0" w:space="0" w:color="auto"/>
                            <w:bottom w:val="none" w:sz="0" w:space="0" w:color="auto"/>
                            <w:right w:val="none" w:sz="0" w:space="0" w:color="auto"/>
                          </w:divBdr>
                          <w:divsChild>
                            <w:div w:id="2931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11775">
                  <w:marLeft w:val="0"/>
                  <w:marRight w:val="0"/>
                  <w:marTop w:val="0"/>
                  <w:marBottom w:val="543"/>
                  <w:divBdr>
                    <w:top w:val="none" w:sz="0" w:space="0" w:color="auto"/>
                    <w:left w:val="none" w:sz="0" w:space="0" w:color="auto"/>
                    <w:bottom w:val="none" w:sz="0" w:space="0" w:color="auto"/>
                    <w:right w:val="none" w:sz="0" w:space="0" w:color="auto"/>
                  </w:divBdr>
                  <w:divsChild>
                    <w:div w:id="19811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401</Words>
  <Characters>2292</Characters>
  <Application>Microsoft Office Word</Application>
  <DocSecurity>0</DocSecurity>
  <Lines>19</Lines>
  <Paragraphs>5</Paragraphs>
  <ScaleCrop>false</ScaleCrop>
  <Company/>
  <LinksUpToDate>false</LinksUpToDate>
  <CharactersWithSpaces>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2016-12-10T14:32:00Z</dcterms:created>
  <dcterms:modified xsi:type="dcterms:W3CDTF">2016-12-10T14:34:00Z</dcterms:modified>
</cp:coreProperties>
</file>