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824" w:rsidRPr="00C72824" w:rsidRDefault="00C72824" w:rsidP="00C7282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7282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назначении пенсии через представителя</w:t>
      </w:r>
    </w:p>
    <w:p w:rsidR="00C72824" w:rsidRPr="00C72824" w:rsidRDefault="00C72824" w:rsidP="00C728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2824">
        <w:rPr>
          <w:rFonts w:ascii="Times New Roman" w:eastAsia="Times New Roman" w:hAnsi="Times New Roman" w:cs="Times New Roman"/>
          <w:sz w:val="24"/>
          <w:szCs w:val="24"/>
          <w:lang w:eastAsia="ru-RU"/>
        </w:rPr>
        <w:t>Куда необходимо обратиться за назначением пенсии, если обращение происходит через представителя?</w:t>
      </w:r>
    </w:p>
    <w:p w:rsidR="008B4321" w:rsidRDefault="00C72824" w:rsidP="00C72824">
      <w:pPr>
        <w:spacing w:before="100" w:beforeAutospacing="1" w:after="100" w:afterAutospacing="1" w:line="240" w:lineRule="auto"/>
      </w:pPr>
      <w:r w:rsidRPr="00C728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Представитель, обращающийся за установлением пенсии от имени гражданина, вправе подать соответствующее заявление в территориальный орган Пенсионного фонда России по месту жительства, месту пребывания либо фактического проживания гражданина, имеющего право на пенсию.</w:t>
      </w:r>
    </w:p>
    <w:sectPr w:rsidR="008B4321" w:rsidSect="008B4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2824"/>
    <w:rsid w:val="008B4321"/>
    <w:rsid w:val="00C72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321"/>
  </w:style>
  <w:style w:type="paragraph" w:styleId="1">
    <w:name w:val="heading 1"/>
    <w:basedOn w:val="a"/>
    <w:link w:val="10"/>
    <w:uiPriority w:val="9"/>
    <w:qFormat/>
    <w:rsid w:val="00C728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282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3">
    <w:name w:val="p3"/>
    <w:basedOn w:val="a"/>
    <w:rsid w:val="00C72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C72824"/>
  </w:style>
  <w:style w:type="character" w:customStyle="1" w:styleId="s1">
    <w:name w:val="s1"/>
    <w:basedOn w:val="a0"/>
    <w:rsid w:val="00C728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0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9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43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2017-02-10T08:52:00Z</dcterms:created>
  <dcterms:modified xsi:type="dcterms:W3CDTF">2017-02-10T08:53:00Z</dcterms:modified>
</cp:coreProperties>
</file>