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4649" w:rsidRPr="00D44649" w:rsidRDefault="00D44649" w:rsidP="00D4464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D4464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Накопительная пенсия: как правильно менять страховщика</w:t>
      </w:r>
    </w:p>
    <w:p w:rsidR="00D44649" w:rsidRPr="00D44649" w:rsidRDefault="00D44649" w:rsidP="00D4464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46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Застрахованные лица, сделавшие выбор в пользу формирования накопительной части пенсии (6%), доверяют инвестирование своих средств управляющей компании  (текущему страховщику). Результаты инвестиционного размещения средств текущим страховщиком могут быть как положительные, так и отрицательные. </w:t>
      </w:r>
      <w:proofErr w:type="gramStart"/>
      <w:r w:rsidRPr="00D44649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со статьями 36.7, 36.8 и 36.11 Федерального закона от 7 мая 1998 года № 75-ФЗ «О негосударственных пенсионных фондах» застрахованное лицо до обращения за установлением накопительной пенсии, срочной пенсионной выплаты, единовременной выплаты средств пенсионных накоплений может воспользоваться правом на переход из негосударственного пенсионного фонда в Пенсионный фонд Российской Федерации, из негосударственного пенсионного фонда в другой негосударственный пенсионный фонд либо</w:t>
      </w:r>
      <w:proofErr w:type="gramEnd"/>
      <w:r w:rsidRPr="00D446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Пенсионного фонда Российской Федерации в негосударственный пенсионный фонд. Делать это можно не чаще одного раза в год, подав заявление о переходе либо </w:t>
      </w:r>
      <w:proofErr w:type="gramStart"/>
      <w:r w:rsidRPr="00D44649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заявление</w:t>
      </w:r>
      <w:proofErr w:type="gramEnd"/>
      <w:r w:rsidRPr="00D446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досрочном переходе.</w:t>
      </w:r>
    </w:p>
    <w:p w:rsidR="00D44649" w:rsidRPr="00D44649" w:rsidRDefault="00D44649" w:rsidP="00D4464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4649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заявления о переходе переход застрахованного лица осуществляется в году, следующем за годом, в котором истекает пятилетний срок, исчисляющийся, начиная с года подачи такого заявления.</w:t>
      </w:r>
    </w:p>
    <w:p w:rsidR="00D44649" w:rsidRPr="00D44649" w:rsidRDefault="00D44649" w:rsidP="00D4464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4649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заявления о досрочном переходе переход застрахованного лица осуществляется в году, следующем за годом подачи такого заявления.</w:t>
      </w:r>
    </w:p>
    <w:p w:rsidR="00D44649" w:rsidRPr="00D44649" w:rsidRDefault="00D44649" w:rsidP="00D4464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4649">
        <w:rPr>
          <w:rFonts w:ascii="Times New Roman" w:eastAsia="Times New Roman" w:hAnsi="Times New Roman" w:cs="Times New Roman"/>
          <w:sz w:val="24"/>
          <w:szCs w:val="24"/>
          <w:lang w:eastAsia="ru-RU"/>
        </w:rPr>
        <w:t>Отличие заявления о переходе от заявления о досрочном переходе заключается не только в различных сроках рассмотрения таких заявлений, сроках фактического перехода к новому страховщику и сроках перевода средств пенсионных накоплений, но и в различном порядке расчета средств пенсионных накоплений, подлежащих передаче при таких переходах.</w:t>
      </w:r>
    </w:p>
    <w:p w:rsidR="00D44649" w:rsidRPr="00D44649" w:rsidRDefault="00D44649" w:rsidP="00D4464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46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Менять страховщика, </w:t>
      </w:r>
      <w:proofErr w:type="gramStart"/>
      <w:r w:rsidRPr="00D44649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переводя свои пенсионные накопления из Пенсионного фонда Российской Федерации в негосударственный пенсионный фонд чаще одного раза в пять</w:t>
      </w:r>
      <w:proofErr w:type="gramEnd"/>
      <w:r w:rsidRPr="00D446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лет (то есть досрочно), невыгодно. Такой переход повлечет за собой уменьшение суммы пенсионных накоплений гражданина, кроме досрочного перехода в год пятилетней фиксации.</w:t>
      </w:r>
    </w:p>
    <w:p w:rsidR="00D44649" w:rsidRPr="00D44649" w:rsidRDefault="00D44649" w:rsidP="00D4464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4649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Первая пятилетняя фиксация осуществляется в следующие сроки: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756"/>
        <w:gridCol w:w="4689"/>
      </w:tblGrid>
      <w:tr w:rsidR="00D44649" w:rsidRPr="00D44649" w:rsidTr="00D44649">
        <w:trPr>
          <w:tblCellSpacing w:w="15" w:type="dxa"/>
        </w:trPr>
        <w:tc>
          <w:tcPr>
            <w:tcW w:w="0" w:type="auto"/>
            <w:vAlign w:val="center"/>
            <w:hideMark/>
          </w:tcPr>
          <w:p w:rsidR="00D44649" w:rsidRPr="00D44649" w:rsidRDefault="00D44649" w:rsidP="00D446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46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Год, с которого страховщик (ПФР) стал текущим страховщиком для застрахованного лица</w:t>
            </w:r>
          </w:p>
        </w:tc>
        <w:tc>
          <w:tcPr>
            <w:tcW w:w="0" w:type="auto"/>
            <w:vAlign w:val="center"/>
            <w:hideMark/>
          </w:tcPr>
          <w:p w:rsidR="00D44649" w:rsidRPr="00D44649" w:rsidRDefault="00D44649" w:rsidP="00D446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46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Сроки выполнения ПФР расчета первой пятилетней фиксации средств пенсионных накоплений</w:t>
            </w:r>
          </w:p>
        </w:tc>
      </w:tr>
      <w:tr w:rsidR="00D44649" w:rsidRPr="00D44649" w:rsidTr="00D44649">
        <w:trPr>
          <w:tblCellSpacing w:w="15" w:type="dxa"/>
        </w:trPr>
        <w:tc>
          <w:tcPr>
            <w:tcW w:w="0" w:type="auto"/>
            <w:vAlign w:val="center"/>
            <w:hideMark/>
          </w:tcPr>
          <w:p w:rsidR="00D44649" w:rsidRPr="00D44649" w:rsidRDefault="00D44649" w:rsidP="00D446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46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2011 и ранее</w:t>
            </w:r>
          </w:p>
        </w:tc>
        <w:tc>
          <w:tcPr>
            <w:tcW w:w="0" w:type="auto"/>
            <w:vAlign w:val="center"/>
            <w:hideMark/>
          </w:tcPr>
          <w:p w:rsidR="00D44649" w:rsidRPr="00D44649" w:rsidRDefault="00D44649" w:rsidP="00D446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46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состоянию на 31 декабря 2015 года</w:t>
            </w:r>
          </w:p>
        </w:tc>
      </w:tr>
      <w:tr w:rsidR="00D44649" w:rsidRPr="00D44649" w:rsidTr="00D44649">
        <w:trPr>
          <w:tblCellSpacing w:w="15" w:type="dxa"/>
        </w:trPr>
        <w:tc>
          <w:tcPr>
            <w:tcW w:w="0" w:type="auto"/>
            <w:vAlign w:val="center"/>
            <w:hideMark/>
          </w:tcPr>
          <w:p w:rsidR="00D44649" w:rsidRPr="00D44649" w:rsidRDefault="00D44649" w:rsidP="00D446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46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D44649" w:rsidRPr="00D44649" w:rsidRDefault="00D44649" w:rsidP="00D446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46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состоянию на 31 декабря 2016 года</w:t>
            </w:r>
          </w:p>
        </w:tc>
      </w:tr>
      <w:tr w:rsidR="00D44649" w:rsidRPr="00D44649" w:rsidTr="00D44649">
        <w:trPr>
          <w:tblCellSpacing w:w="15" w:type="dxa"/>
        </w:trPr>
        <w:tc>
          <w:tcPr>
            <w:tcW w:w="0" w:type="auto"/>
            <w:vAlign w:val="center"/>
            <w:hideMark/>
          </w:tcPr>
          <w:p w:rsidR="00D44649" w:rsidRPr="00D44649" w:rsidRDefault="00D44649" w:rsidP="00D446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46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D44649" w:rsidRPr="00D44649" w:rsidRDefault="00D44649" w:rsidP="00D446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46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состоянию на 31 декабря 2017 года</w:t>
            </w:r>
          </w:p>
        </w:tc>
      </w:tr>
      <w:tr w:rsidR="00D44649" w:rsidRPr="00D44649" w:rsidTr="00D44649">
        <w:trPr>
          <w:tblCellSpacing w:w="15" w:type="dxa"/>
        </w:trPr>
        <w:tc>
          <w:tcPr>
            <w:tcW w:w="0" w:type="auto"/>
            <w:vAlign w:val="center"/>
            <w:hideMark/>
          </w:tcPr>
          <w:p w:rsidR="00D44649" w:rsidRPr="00D44649" w:rsidRDefault="00D44649" w:rsidP="00D446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46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D44649" w:rsidRPr="00D44649" w:rsidRDefault="00D44649" w:rsidP="00D446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46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состоянию на 31 декабря 2018 года</w:t>
            </w:r>
          </w:p>
        </w:tc>
      </w:tr>
      <w:tr w:rsidR="00D44649" w:rsidRPr="00D44649" w:rsidTr="00D44649">
        <w:trPr>
          <w:tblCellSpacing w:w="15" w:type="dxa"/>
        </w:trPr>
        <w:tc>
          <w:tcPr>
            <w:tcW w:w="0" w:type="auto"/>
            <w:vAlign w:val="center"/>
            <w:hideMark/>
          </w:tcPr>
          <w:p w:rsidR="00D44649" w:rsidRPr="00D44649" w:rsidRDefault="00D44649" w:rsidP="00D446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46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D44649" w:rsidRPr="00D44649" w:rsidRDefault="00D44649" w:rsidP="00D446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46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состоянию на 31 декабря 2019 года</w:t>
            </w:r>
          </w:p>
        </w:tc>
      </w:tr>
    </w:tbl>
    <w:p w:rsidR="00D44649" w:rsidRPr="00D44649" w:rsidRDefault="00D44649" w:rsidP="00D4464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46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Отражению (фиксации) подлежит фактически сформированные средства пенсионных накоплений, а при наличии отрицательного результата инвестирования в пятилетнем </w:t>
      </w:r>
      <w:r w:rsidRPr="00D4464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периоде страховщиком производится восполнение на его покрытие до гарантируемой суммы – суммы фактически уплаченных страховых взносов, дополнительных страховых взносов, взносов на </w:t>
      </w:r>
      <w:proofErr w:type="spellStart"/>
      <w:r w:rsidRPr="00D44649">
        <w:rPr>
          <w:rFonts w:ascii="Times New Roman" w:eastAsia="Times New Roman" w:hAnsi="Times New Roman" w:cs="Times New Roman"/>
          <w:sz w:val="24"/>
          <w:szCs w:val="24"/>
          <w:lang w:eastAsia="ru-RU"/>
        </w:rPr>
        <w:t>софинансирование</w:t>
      </w:r>
      <w:proofErr w:type="spellEnd"/>
      <w:r w:rsidRPr="00D44649">
        <w:rPr>
          <w:rFonts w:ascii="Times New Roman" w:eastAsia="Times New Roman" w:hAnsi="Times New Roman" w:cs="Times New Roman"/>
          <w:sz w:val="24"/>
          <w:szCs w:val="24"/>
          <w:lang w:eastAsia="ru-RU"/>
        </w:rPr>
        <w:t>, средств (части средств) материнского (семейного) капитала, направленных на накопительную пенсию.</w:t>
      </w:r>
    </w:p>
    <w:p w:rsidR="00D44649" w:rsidRPr="00D44649" w:rsidRDefault="00D44649" w:rsidP="00D4464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4649">
        <w:rPr>
          <w:rFonts w:ascii="Times New Roman" w:eastAsia="Times New Roman" w:hAnsi="Times New Roman" w:cs="Times New Roman"/>
          <w:sz w:val="24"/>
          <w:szCs w:val="24"/>
          <w:lang w:eastAsia="ru-RU"/>
        </w:rPr>
        <w:t>Аналогичный расчет средств пенсионных накоплений, подлежащих отражению на индивидуальном лицевом счете застрахованного лица, осуществляется текущим страховщиком (ПФР) каждые последующие пять лет.</w:t>
      </w:r>
    </w:p>
    <w:p w:rsidR="00D44649" w:rsidRPr="00D44649" w:rsidRDefault="00D44649" w:rsidP="00D4464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464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sectPr w:rsidR="00D44649" w:rsidRPr="00D44649" w:rsidSect="000A66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44649"/>
    <w:rsid w:val="000A6635"/>
    <w:rsid w:val="00D446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6635"/>
  </w:style>
  <w:style w:type="paragraph" w:styleId="1">
    <w:name w:val="heading 1"/>
    <w:basedOn w:val="a"/>
    <w:link w:val="10"/>
    <w:uiPriority w:val="9"/>
    <w:qFormat/>
    <w:rsid w:val="00D4464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D4464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4464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4464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D446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share-form-button">
    <w:name w:val="b-share-form-button"/>
    <w:basedOn w:val="a0"/>
    <w:rsid w:val="00D44649"/>
  </w:style>
  <w:style w:type="character" w:styleId="a4">
    <w:name w:val="Hyperlink"/>
    <w:basedOn w:val="a0"/>
    <w:uiPriority w:val="99"/>
    <w:semiHidden/>
    <w:unhideWhenUsed/>
    <w:rsid w:val="00D4464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278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242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280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3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168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8360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347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169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5185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7649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8420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1577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3332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68894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0434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69283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10103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54346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55734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468</Words>
  <Characters>2669</Characters>
  <Application>Microsoft Office Word</Application>
  <DocSecurity>0</DocSecurity>
  <Lines>22</Lines>
  <Paragraphs>6</Paragraphs>
  <ScaleCrop>false</ScaleCrop>
  <Company/>
  <LinksUpToDate>false</LinksUpToDate>
  <CharactersWithSpaces>3131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2017-05-30T09:01:00Z</dcterms:created>
  <dcterms:modified xsi:type="dcterms:W3CDTF">2017-05-30T09:03:00Z</dcterms:modified>
</cp:coreProperties>
</file>