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2032" w:rsidRPr="00602032" w:rsidRDefault="00602032" w:rsidP="0060203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en-US" w:eastAsia="ru-RU"/>
        </w:rPr>
        <w:t xml:space="preserve"> </w:t>
      </w:r>
      <w:r w:rsidRPr="00602032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ПЕНСИОННЫЙ ФОНД ИНФОРМИРУЕТ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:</w:t>
      </w:r>
    </w:p>
    <w:p w:rsidR="00602032" w:rsidRPr="00602032" w:rsidRDefault="00602032" w:rsidP="0060203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020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ВЭБ </w:t>
      </w:r>
      <w:proofErr w:type="gramStart"/>
      <w:r w:rsidRPr="006020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отчитался о результатах</w:t>
      </w:r>
      <w:proofErr w:type="gramEnd"/>
      <w:r w:rsidRPr="0060203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управления пенсионными накоплениями за первое полугодие 2017 года</w:t>
      </w:r>
    </w:p>
    <w:p w:rsidR="00602032" w:rsidRPr="00602032" w:rsidRDefault="00602032" w:rsidP="0060203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09825" cy="1807369"/>
            <wp:effectExtent l="19050" t="0" r="9525" b="0"/>
            <wp:docPr id="1" name="Рисунок 1" descr="http://www.pfrf.ru/files/id/news/big/aukcion_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id/news/big/aukcion_400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073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020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Внешэкономбанк, являющийся государственной управляющей компанией, осуществляющей доверительной управление средствами пенсионных накоплений застрахованных лиц, страховщиком которых является ПФР, 3 августа 2017 года </w:t>
      </w:r>
      <w:proofErr w:type="gramStart"/>
      <w:r w:rsidRPr="00602032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отчитался о результатах</w:t>
      </w:r>
      <w:proofErr w:type="gramEnd"/>
      <w:r w:rsidRPr="006020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управления средствами пенсионных накоплений за первое полугодие 2017 года.</w:t>
      </w:r>
    </w:p>
    <w:p w:rsidR="00602032" w:rsidRPr="00602032" w:rsidRDefault="00602032" w:rsidP="006020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032">
        <w:rPr>
          <w:rFonts w:ascii="Times New Roman" w:eastAsia="Times New Roman" w:hAnsi="Times New Roman" w:cs="Times New Roman"/>
          <w:sz w:val="24"/>
          <w:szCs w:val="24"/>
          <w:lang w:eastAsia="ru-RU"/>
        </w:rPr>
        <w:t>За указанный период доходность инвестирования средств пенсионных накоплений, рассчитанная в соответствии с приказом Минфина России от 22 августа 2005 № 107н «Об утверждении Стандартов раскрытия информации об инвестировании средств пенсионных накоплений», находящихся в расширенном инвестиционном портфеле, составила 8,81% годовых. По инвестиционному портфелю государственных ценных бумаг доходность составила 11,40% годовых. По состоянию на 1 июля 2017 года в расширенном инвестиционном портфеле формируют свои пенсионные накопления 41 851 875 застрахованных лиц, в инвестиционном портфеле государственных ценных бумаг – 336 133 застрахованных лица.</w:t>
      </w:r>
    </w:p>
    <w:p w:rsidR="00602032" w:rsidRPr="00602032" w:rsidRDefault="00602032" w:rsidP="006020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2032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данным Банка России на основании информации Федеральной службы государственной статистики, инфляция за первое полугодие текущего года составила 4,4% в годовом выражении (июнь 2017 года к июню 2016 года). Цель по инфляции за 2017 год составляет 4,0%.</w:t>
      </w:r>
    </w:p>
    <w:p w:rsidR="00C17554" w:rsidRDefault="00602032" w:rsidP="00602032">
      <w:pPr>
        <w:spacing w:before="100" w:beforeAutospacing="1" w:after="100" w:afterAutospacing="1" w:line="240" w:lineRule="auto"/>
        <w:jc w:val="both"/>
      </w:pPr>
      <w:r w:rsidRPr="00602032">
        <w:rPr>
          <w:rFonts w:ascii="Times New Roman" w:eastAsia="Times New Roman" w:hAnsi="Times New Roman" w:cs="Times New Roman"/>
          <w:sz w:val="24"/>
          <w:szCs w:val="24"/>
          <w:lang w:eastAsia="ru-RU"/>
        </w:rPr>
        <w:t>За 2016 год государственная управляющая компания Внешэкономбанк показала доходность по расширенному инвестиционному портфелю - 10,53%, по инвестиционному портфелю государственных ценных бумаг – 12,20%. По данным Росстата инфляция в России за 2016 год составила 5,4%.</w:t>
      </w:r>
    </w:p>
    <w:sectPr w:rsidR="00C17554" w:rsidSect="00C175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02032"/>
    <w:rsid w:val="00602032"/>
    <w:rsid w:val="00C175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554"/>
  </w:style>
  <w:style w:type="paragraph" w:styleId="1">
    <w:name w:val="heading 1"/>
    <w:basedOn w:val="a"/>
    <w:link w:val="10"/>
    <w:uiPriority w:val="9"/>
    <w:qFormat/>
    <w:rsid w:val="0060203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0203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203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0203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02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020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203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6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50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7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9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1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240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2017-08-09T13:50:00Z</dcterms:created>
  <dcterms:modified xsi:type="dcterms:W3CDTF">2017-08-09T13:53:00Z</dcterms:modified>
</cp:coreProperties>
</file>