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4A5" w:rsidRDefault="00D104A5" w:rsidP="00D104A5">
      <w:pPr>
        <w:autoSpaceDE w:val="0"/>
        <w:autoSpaceDN w:val="0"/>
        <w:adjustRightInd w:val="0"/>
        <w:ind w:left="1416" w:firstLine="708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Пенсионный фонд России подвел итоги</w:t>
      </w:r>
    </w:p>
    <w:p w:rsidR="00D104A5" w:rsidRDefault="00D104A5" w:rsidP="00D104A5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переходной кампании 2013-2014 годов</w:t>
      </w:r>
    </w:p>
    <w:p w:rsidR="00D104A5" w:rsidRDefault="00D104A5" w:rsidP="00D104A5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D104A5" w:rsidRDefault="00D104A5" w:rsidP="00D104A5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Пенсионный фонд Российской Федерации подвел итоги переходной кампании 2013-2014 гг. по переводу гражданами своих пенсионных накоплений в управляющие компании (УК) и негосударственные пенсионные фонды (НПФ).</w:t>
      </w:r>
    </w:p>
    <w:p w:rsidR="00D104A5" w:rsidRDefault="00D104A5" w:rsidP="00D104A5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Всего в ходе переходной кампании 2013-2014 гг. территориальные органы ПФР приняли 24,8</w:t>
      </w:r>
      <w:r>
        <w:rPr>
          <w:color w:val="FF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млн. заявлений о выборе НПФ и УК. </w:t>
      </w:r>
    </w:p>
    <w:p w:rsidR="00D104A5" w:rsidRDefault="00D104A5" w:rsidP="00D104A5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Отделении ПФР по Республике Мордовия за данный период зарегистрировано 20,7 тыс. заявлений застрахованных лиц, из которых 10 тысяч 900 заявлений  - о передаче средств в УК (страховщик – ПФР), и  9 тысяч 700 заявлений - о переходе в НПФ. </w:t>
      </w:r>
    </w:p>
    <w:p w:rsidR="00D104A5" w:rsidRDefault="00D104A5" w:rsidP="00D104A5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Особенность этой переходной заключается в том, что ПФР принимал к рассмотрению заявления граждан, поданные в ПФР в течение двух лет: в 2013 и 2014 году. Предварительные итоги переходной кампании 2013 года были подведены в 2014 году, фактического перечисления пенсионных накоплений по её результатам не было, поскольку НПФ проходят процедуру проверки на соответствие требований Центрального Банка России.</w:t>
      </w:r>
    </w:p>
    <w:p w:rsidR="00D104A5" w:rsidRDefault="00D104A5" w:rsidP="00D104A5">
      <w:pPr>
        <w:ind w:firstLine="53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 мае 2015 года ПФР передал пенсионные накопления граждан по их заявлениям в размере 399,2 млрд. рублей в 24 НПФ, которые вошли в систему гарантирования прав застрахованных лиц. Передача  пенсионных накоплений в частные управляющие компании, а также в государственную управляющую компанию «Внешэкономбанк», будет проведена до 30 июня 2015 года.</w:t>
      </w:r>
    </w:p>
    <w:p w:rsidR="00D104A5" w:rsidRDefault="00D104A5" w:rsidP="00D104A5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Учитывая итоги переходной кампании 2013-2014 гг. 51 миллион 900 тысяч жителей России будут формировать свои пенсионные накопления в государственной управляющей компании «Внешэкономбанк»; 28 миллионов 300 тысяч граждан -  в НПФ; в частных управляющих компаниях – 482 тысяч 500 человек.</w:t>
      </w:r>
    </w:p>
    <w:p w:rsidR="00D104A5" w:rsidRDefault="00D104A5" w:rsidP="00D104A5">
      <w:pPr>
        <w:autoSpaceDE w:val="0"/>
        <w:autoSpaceDN w:val="0"/>
        <w:adjustRightInd w:val="0"/>
        <w:spacing w:before="60" w:after="6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Получить информацию о результатах рассмотрения заявлений 2013-2014 гг. и о действующем страховщике по обязательному пенсионному страхованию можно в любом территориальном органе Пенсионного фонда Российской Федерации при личном обращении, а также в электронном виде через Единый портал государственных и муниципальных услуг </w:t>
      </w:r>
      <w:hyperlink r:id="rId4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gosuslugi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color w:val="0000FF"/>
          <w:sz w:val="28"/>
          <w:szCs w:val="28"/>
        </w:rPr>
        <w:t xml:space="preserve">, </w:t>
      </w:r>
      <w:r>
        <w:rPr>
          <w:sz w:val="28"/>
          <w:szCs w:val="28"/>
        </w:rPr>
        <w:t xml:space="preserve">и через сервис «Личный кабинет застрахованного лица» на сайте ПФР </w:t>
      </w:r>
      <w:hyperlink r:id="rId5" w:history="1">
        <w:proofErr w:type="gramEnd"/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pfrf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>
        <w:rPr>
          <w:sz w:val="28"/>
          <w:szCs w:val="28"/>
        </w:rPr>
        <w:t>, предварительно зарегистрировавшись в нем.</w:t>
      </w:r>
      <w:proofErr w:type="gramEnd"/>
    </w:p>
    <w:p w:rsidR="0038052E" w:rsidRDefault="0038052E"/>
    <w:p w:rsidR="00D104A5" w:rsidRDefault="00D104A5"/>
    <w:p w:rsidR="00D104A5" w:rsidRDefault="00D104A5"/>
    <w:p w:rsidR="00D104A5" w:rsidRDefault="00D104A5"/>
    <w:p w:rsidR="00D104A5" w:rsidRDefault="00D104A5"/>
    <w:p w:rsidR="00D104A5" w:rsidRDefault="00D104A5"/>
    <w:p w:rsidR="00D104A5" w:rsidRDefault="00D104A5"/>
    <w:p w:rsidR="00D104A5" w:rsidRDefault="00D104A5"/>
    <w:p w:rsidR="00D104A5" w:rsidRDefault="00D104A5"/>
    <w:p w:rsidR="00D104A5" w:rsidRDefault="00D104A5"/>
    <w:p w:rsidR="00D104A5" w:rsidRDefault="00D104A5"/>
    <w:p w:rsidR="00D104A5" w:rsidRDefault="00D104A5"/>
    <w:p w:rsidR="00D104A5" w:rsidRDefault="00D104A5"/>
    <w:p w:rsidR="00D104A5" w:rsidRDefault="00D104A5" w:rsidP="009433FF">
      <w:pPr>
        <w:jc w:val="center"/>
      </w:pPr>
    </w:p>
    <w:sectPr w:rsidR="00D104A5" w:rsidSect="00D104A5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104A5"/>
    <w:rsid w:val="0038052E"/>
    <w:rsid w:val="009433FF"/>
    <w:rsid w:val="00D10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104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" TargetMode="External"/><Relationship Id="rId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2015-06-05T07:17:00Z</cp:lastPrinted>
  <dcterms:created xsi:type="dcterms:W3CDTF">2015-06-05T07:16:00Z</dcterms:created>
  <dcterms:modified xsi:type="dcterms:W3CDTF">2015-06-05T07:31:00Z</dcterms:modified>
</cp:coreProperties>
</file>