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2E1" w:rsidRDefault="003152E1" w:rsidP="003152E1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Всё, что нужно знать о переводе средств пенсионных накоплений</w:t>
      </w:r>
    </w:p>
    <w:p w:rsidR="003152E1" w:rsidRDefault="003152E1" w:rsidP="003152E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Отделение ПФР продолжают поступать многочисленные устные и письменные жалобы граждан на действия НПФ. Люди удивлены и возмущены тем, что их пенсионные накопления переводятся из ПФР в НПФ без их согласия.</w:t>
      </w:r>
    </w:p>
    <w:p w:rsidR="003152E1" w:rsidRDefault="003152E1" w:rsidP="003152E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В соответствии с действующим законодательством </w:t>
      </w:r>
      <w:r>
        <w:rPr>
          <w:rFonts w:ascii="Times New Roman" w:hAnsi="Times New Roman" w:cs="Times New Roman"/>
          <w:sz w:val="28"/>
          <w:szCs w:val="28"/>
        </w:rPr>
        <w:t xml:space="preserve">Пенсионный фонд Российской Федерации и негосударственные пенсионные фонды являются страховщиками по обязательному пенсионному страхованию, обязанностью которых является формирование пенсионных накоплений граждан исключительно в их интересах, исходя из необходимости обеспечения принципов надежности и доходности. </w:t>
      </w:r>
    </w:p>
    <w:p w:rsidR="003152E1" w:rsidRDefault="003152E1" w:rsidP="003152E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Если человек всё же решит перевести свои пенсионные накопления в негосударственный пенсионный фонд, он должен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внимательно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взвешено подойти к выбору организации.  При выборе НФП важно обратить внимание на сроки работы фонда на рынке обязательного пенсионного страхования, на уровни доходности инвестирования пенсионных накоплений не только за прошедший год, но и за весь период работы фонда. Немаловажно и количество граждан, чьи пенсионные накопления формируются в данном фонде. То есть необходимо узнать об НПФ всю информацию. Ознакомиться с подробной информацией можно на интернет-сайтах НПФ.</w:t>
      </w:r>
    </w:p>
    <w:p w:rsidR="003152E1" w:rsidRDefault="003152E1" w:rsidP="003152E1">
      <w:pPr>
        <w:jc w:val="both"/>
        <w:rPr>
          <w:sz w:val="28"/>
          <w:szCs w:val="28"/>
        </w:rPr>
      </w:pPr>
      <w:r>
        <w:t xml:space="preserve">  </w:t>
      </w:r>
      <w:r>
        <w:rPr>
          <w:sz w:val="28"/>
          <w:szCs w:val="28"/>
        </w:rPr>
        <w:t xml:space="preserve">    Кроме того, не следует подписывать договор на перевод своих пенсионных накоплений в НПФ исключительно в обмен на предложение скидки или иных преференций при приобретении, получении иных товаров или услуг (получение кредита, оформление страховых продуктов, покупка товаров и пр.).</w:t>
      </w:r>
    </w:p>
    <w:p w:rsidR="003152E1" w:rsidRDefault="003152E1" w:rsidP="003152E1">
      <w:pPr>
        <w:pStyle w:val="western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Важно помнить, что выбор или смена страховщика – это право гражданина, а не обязанность участников пенсионной системы.</w:t>
      </w:r>
    </w:p>
    <w:p w:rsidR="00653EAB" w:rsidRDefault="00653EAB"/>
    <w:sectPr w:rsidR="00653EAB" w:rsidSect="00653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152E1"/>
    <w:rsid w:val="003152E1"/>
    <w:rsid w:val="00653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2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152E1"/>
    <w:pPr>
      <w:suppressAutoHyphens/>
      <w:spacing w:after="120" w:line="276" w:lineRule="auto"/>
    </w:pPr>
    <w:rPr>
      <w:rFonts w:ascii="Calibri" w:eastAsia="Arial Unicode MS" w:hAnsi="Calibri" w:cs="Tahoma"/>
      <w:kern w:val="2"/>
      <w:sz w:val="22"/>
      <w:szCs w:val="22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3152E1"/>
    <w:rPr>
      <w:rFonts w:ascii="Calibri" w:eastAsia="Arial Unicode MS" w:hAnsi="Calibri" w:cs="Tahoma"/>
      <w:kern w:val="2"/>
      <w:lang w:eastAsia="ar-SA"/>
    </w:rPr>
  </w:style>
  <w:style w:type="paragraph" w:customStyle="1" w:styleId="western">
    <w:name w:val="western"/>
    <w:basedOn w:val="a"/>
    <w:rsid w:val="003152E1"/>
    <w:pPr>
      <w:spacing w:before="100" w:beforeAutospacing="1" w:after="119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94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2015-06-10T10:44:00Z</dcterms:created>
  <dcterms:modified xsi:type="dcterms:W3CDTF">2015-06-10T10:45:00Z</dcterms:modified>
</cp:coreProperties>
</file>