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59E" w:rsidRDefault="001C059E" w:rsidP="001C059E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>Каким образом предприниматель будет уведомлен о наличии задолженности по страховым взносам и пени?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Предварительно орган Пенсионного фонда направляет плательщику требование об уплате недоимки, пеней и штрафов с указанием, срока, в который предлагается уплатить указанные суммы.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Требование направляется плательщику в течение трех месяцев со дня выявления недоимки.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Требование передается плательщику – физическому лицу (его законному или уполномоченному представителю) лично под расписку или иным способом, подтверждающим факт и дату его получения. Если указанными способами требование вручить невозможно, оно направляется по почте заказным письмом и считается полученным по истечении шести рабочих дней 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с даты направления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заказного письма. Также требование может быть направлено плательщику в электронном виде по телекоммуникационным каналам связи, при этом форматы, порядок и условия направления плательщику требования устанавливаются органами ПФР.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К требованию прилагается расчет пеней.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Пенями признается денежная сумма, которую плательщик должен выплатить в случае уплаты причитающихся сумм страховых взносов в более поздние по сравнению с установленными Федеральным законом срок.</w:t>
      </w:r>
      <w:proofErr w:type="gramEnd"/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Пени начисляются за каждый календарный день просрочки исполнения обязанности по уплате страховых взносов. Пени уплачиваются помимо причитающихся к уплате сумм страховых взносов и независимо от применения мер ответственности за нарушение законодательства о страховых взносах.</w:t>
      </w:r>
    </w:p>
    <w:p w:rsidR="001C059E" w:rsidRDefault="001C059E" w:rsidP="001C05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Пени начисляются до дня фактической уплаты недоимки. Расчет пеней производится в процентах от не уплаченной вовремя суммы с применением процентной ставки, равной 1/300 ставки рефинансирования ЦБ РФ, действующей в этот период.</w:t>
      </w:r>
    </w:p>
    <w:p w:rsidR="00FE3A0E" w:rsidRPr="001C059E" w:rsidRDefault="00FE3A0E" w:rsidP="001C059E"/>
    <w:sectPr w:rsidR="00FE3A0E" w:rsidRPr="001C059E" w:rsidSect="00813A3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32"/>
    <w:rsid w:val="001C059E"/>
    <w:rsid w:val="00813A32"/>
    <w:rsid w:val="00FE3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3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2015-08-31T06:20:00Z</dcterms:created>
  <dcterms:modified xsi:type="dcterms:W3CDTF">2015-08-31T06:20:00Z</dcterms:modified>
</cp:coreProperties>
</file>