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842" w:type="dxa"/>
        <w:tblInd w:w="-252" w:type="dxa"/>
        <w:shd w:val="clear" w:color="auto" w:fill="00CCFF"/>
        <w:tblLook w:val="0000"/>
      </w:tblPr>
      <w:tblGrid>
        <w:gridCol w:w="1920"/>
        <w:gridCol w:w="9922"/>
      </w:tblGrid>
      <w:tr w:rsidR="00D8395F" w:rsidTr="00102877">
        <w:tblPrEx>
          <w:tblCellMar>
            <w:top w:w="0" w:type="dxa"/>
            <w:bottom w:w="0" w:type="dxa"/>
          </w:tblCellMar>
        </w:tblPrEx>
        <w:trPr>
          <w:trHeight w:val="540"/>
        </w:trPr>
        <w:tc>
          <w:tcPr>
            <w:tcW w:w="1920" w:type="dxa"/>
            <w:shd w:val="clear" w:color="auto" w:fill="0000FF"/>
            <w:vAlign w:val="center"/>
          </w:tcPr>
          <w:p w:rsidR="00D8395F" w:rsidRDefault="00D8395F" w:rsidP="00102877">
            <w:pPr>
              <w:jc w:val="center"/>
            </w:pPr>
            <w:r>
              <w:rPr>
                <w:noProof/>
              </w:rPr>
              <w:drawing>
                <wp:inline distT="0" distB="0" distL="0" distR="0">
                  <wp:extent cx="847725" cy="8001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847725" cy="800100"/>
                          </a:xfrm>
                          <a:prstGeom prst="rect">
                            <a:avLst/>
                          </a:prstGeom>
                          <a:noFill/>
                          <a:ln w="9525">
                            <a:noFill/>
                            <a:miter lim="800000"/>
                            <a:headEnd/>
                            <a:tailEnd/>
                          </a:ln>
                        </pic:spPr>
                      </pic:pic>
                    </a:graphicData>
                  </a:graphic>
                </wp:inline>
              </w:drawing>
            </w:r>
          </w:p>
        </w:tc>
        <w:tc>
          <w:tcPr>
            <w:tcW w:w="9922" w:type="dxa"/>
            <w:shd w:val="clear" w:color="auto" w:fill="0000FF"/>
            <w:vAlign w:val="center"/>
          </w:tcPr>
          <w:p w:rsidR="00D8395F" w:rsidRPr="00875FB3" w:rsidRDefault="00D8395F" w:rsidP="00102877">
            <w:pPr>
              <w:ind w:left="-108" w:right="380"/>
              <w:jc w:val="center"/>
              <w:rPr>
                <w:b/>
                <w:color w:val="FFFFFF"/>
                <w:sz w:val="48"/>
                <w:szCs w:val="48"/>
              </w:rPr>
            </w:pPr>
            <w:r w:rsidRPr="00875FB3">
              <w:rPr>
                <w:b/>
                <w:color w:val="FFFFFF"/>
                <w:sz w:val="48"/>
                <w:szCs w:val="48"/>
              </w:rPr>
              <w:t>ФЕДЕРАЛЬНЫМ ЛЬГОТНИКАМ:</w:t>
            </w:r>
          </w:p>
          <w:p w:rsidR="00D8395F" w:rsidRPr="00B76D17" w:rsidRDefault="00D8395F" w:rsidP="00102877">
            <w:pPr>
              <w:ind w:left="-108"/>
              <w:jc w:val="center"/>
              <w:rPr>
                <w:b/>
                <w:sz w:val="56"/>
                <w:szCs w:val="56"/>
              </w:rPr>
            </w:pPr>
            <w:r w:rsidRPr="00875FB3">
              <w:rPr>
                <w:b/>
                <w:color w:val="FFFFFF"/>
                <w:sz w:val="48"/>
                <w:szCs w:val="48"/>
              </w:rPr>
              <w:t>ЕЖЕМЕСЯЧНАЯ ДЕНЕЖНАЯ ВЫПЛАТА</w:t>
            </w:r>
          </w:p>
        </w:tc>
      </w:tr>
    </w:tbl>
    <w:p w:rsidR="00D8395F" w:rsidRDefault="00D8395F" w:rsidP="00D8395F">
      <w:pPr>
        <w:pStyle w:val="3"/>
        <w:ind w:left="0" w:firstLine="540"/>
        <w:jc w:val="both"/>
        <w:rPr>
          <w:rFonts w:ascii="Century Gothic" w:hAnsi="Century Gothic"/>
          <w:sz w:val="21"/>
          <w:szCs w:val="21"/>
        </w:rPr>
      </w:pPr>
    </w:p>
    <w:p w:rsidR="00D8395F" w:rsidRPr="00875FB3" w:rsidRDefault="00D8395F" w:rsidP="00D8395F">
      <w:pPr>
        <w:pStyle w:val="3"/>
        <w:spacing w:after="0"/>
        <w:ind w:left="0" w:firstLine="540"/>
        <w:jc w:val="both"/>
        <w:rPr>
          <w:sz w:val="26"/>
          <w:szCs w:val="26"/>
        </w:rPr>
      </w:pPr>
      <w:r w:rsidRPr="00875FB3">
        <w:rPr>
          <w:sz w:val="26"/>
          <w:szCs w:val="26"/>
        </w:rPr>
        <w:t>Пенсионный фонд Российской Федерации в соответствии с действующим российским законодательством осуществляет ряд социальных выплат федеральным льготникам. К ним, в частности, относится ежемесячная денежная выплата (ЕДВ) отдельным категориям граждан из числа федеральных льготников.</w:t>
      </w:r>
    </w:p>
    <w:p w:rsidR="00D8395F" w:rsidRPr="00875FB3" w:rsidRDefault="00D8395F" w:rsidP="00D8395F">
      <w:pPr>
        <w:pStyle w:val="Style2"/>
        <w:widowControl/>
        <w:spacing w:line="240" w:lineRule="auto"/>
        <w:ind w:firstLine="540"/>
        <w:rPr>
          <w:rStyle w:val="FontStyle12"/>
          <w:b/>
          <w:color w:val="0000FF"/>
          <w:sz w:val="26"/>
          <w:szCs w:val="26"/>
        </w:rPr>
      </w:pPr>
      <w:r w:rsidRPr="00875FB3">
        <w:rPr>
          <w:rStyle w:val="FontStyle12"/>
          <w:b/>
          <w:color w:val="0000FF"/>
          <w:sz w:val="26"/>
          <w:szCs w:val="26"/>
        </w:rPr>
        <w:t>ЕДВ предоставляется отдельным категориям граждан из числа:</w:t>
      </w:r>
    </w:p>
    <w:p w:rsidR="00D8395F" w:rsidRPr="00875FB3" w:rsidRDefault="00D8395F" w:rsidP="00D8395F">
      <w:pPr>
        <w:pStyle w:val="Style2"/>
        <w:widowControl/>
        <w:numPr>
          <w:ilvl w:val="0"/>
          <w:numId w:val="1"/>
        </w:numPr>
        <w:spacing w:line="240" w:lineRule="auto"/>
        <w:rPr>
          <w:rStyle w:val="FontStyle12"/>
          <w:sz w:val="26"/>
          <w:szCs w:val="26"/>
        </w:rPr>
      </w:pPr>
      <w:r w:rsidRPr="00875FB3">
        <w:rPr>
          <w:rStyle w:val="FontStyle12"/>
          <w:sz w:val="26"/>
          <w:szCs w:val="26"/>
        </w:rPr>
        <w:t>ветеранов;</w:t>
      </w:r>
    </w:p>
    <w:p w:rsidR="00D8395F" w:rsidRPr="00875FB3" w:rsidRDefault="00D8395F" w:rsidP="00D8395F">
      <w:pPr>
        <w:pStyle w:val="Style2"/>
        <w:widowControl/>
        <w:numPr>
          <w:ilvl w:val="0"/>
          <w:numId w:val="1"/>
        </w:numPr>
        <w:spacing w:line="240" w:lineRule="auto"/>
        <w:rPr>
          <w:rStyle w:val="FontStyle12"/>
          <w:sz w:val="26"/>
          <w:szCs w:val="26"/>
        </w:rPr>
      </w:pPr>
      <w:r w:rsidRPr="00875FB3">
        <w:rPr>
          <w:rStyle w:val="FontStyle12"/>
          <w:sz w:val="26"/>
          <w:szCs w:val="26"/>
        </w:rPr>
        <w:t>инвалидов, включая детей-инвалидов;</w:t>
      </w:r>
    </w:p>
    <w:p w:rsidR="00D8395F" w:rsidRPr="00875FB3" w:rsidRDefault="00D8395F" w:rsidP="00D8395F">
      <w:pPr>
        <w:pStyle w:val="Style2"/>
        <w:widowControl/>
        <w:numPr>
          <w:ilvl w:val="0"/>
          <w:numId w:val="1"/>
        </w:numPr>
        <w:spacing w:line="240" w:lineRule="auto"/>
        <w:rPr>
          <w:rStyle w:val="FontStyle12"/>
          <w:sz w:val="26"/>
          <w:szCs w:val="26"/>
        </w:rPr>
      </w:pPr>
      <w:r w:rsidRPr="00875FB3">
        <w:rPr>
          <w:rStyle w:val="FontStyle12"/>
          <w:sz w:val="26"/>
          <w:szCs w:val="26"/>
        </w:rPr>
        <w:t>бывших несовершеннолетних узников фашизма;</w:t>
      </w:r>
    </w:p>
    <w:p w:rsidR="00D8395F" w:rsidRPr="00875FB3" w:rsidRDefault="00D8395F" w:rsidP="00D8395F">
      <w:pPr>
        <w:pStyle w:val="Style2"/>
        <w:widowControl/>
        <w:numPr>
          <w:ilvl w:val="0"/>
          <w:numId w:val="1"/>
        </w:numPr>
        <w:spacing w:line="240" w:lineRule="auto"/>
        <w:rPr>
          <w:rStyle w:val="FontStyle12"/>
          <w:sz w:val="26"/>
          <w:szCs w:val="26"/>
        </w:rPr>
      </w:pPr>
      <w:r w:rsidRPr="00875FB3">
        <w:rPr>
          <w:rStyle w:val="FontStyle12"/>
          <w:sz w:val="26"/>
          <w:szCs w:val="26"/>
        </w:rPr>
        <w:t>лиц, пострадавших в результате воздействия радиации.</w:t>
      </w:r>
    </w:p>
    <w:p w:rsidR="00D8395F" w:rsidRPr="00875FB3" w:rsidRDefault="00D8395F" w:rsidP="00D8395F">
      <w:pPr>
        <w:pStyle w:val="Style2"/>
        <w:widowControl/>
        <w:spacing w:line="240" w:lineRule="auto"/>
        <w:ind w:firstLine="0"/>
        <w:rPr>
          <w:rStyle w:val="FontStyle12"/>
          <w:sz w:val="26"/>
          <w:szCs w:val="26"/>
        </w:rPr>
      </w:pPr>
    </w:p>
    <w:p w:rsidR="00D8395F" w:rsidRPr="00875FB3" w:rsidRDefault="00D8395F" w:rsidP="00D8395F">
      <w:pPr>
        <w:pStyle w:val="Style2"/>
        <w:widowControl/>
        <w:spacing w:line="240" w:lineRule="auto"/>
        <w:ind w:firstLine="540"/>
        <w:rPr>
          <w:rStyle w:val="FontStyle12"/>
          <w:i/>
          <w:iCs/>
          <w:sz w:val="26"/>
          <w:szCs w:val="26"/>
        </w:rPr>
      </w:pPr>
      <w:r w:rsidRPr="00875FB3">
        <w:rPr>
          <w:rStyle w:val="FontStyle12"/>
          <w:sz w:val="26"/>
          <w:szCs w:val="26"/>
        </w:rPr>
        <w:t>ЕДВ устанавливается и выплачивается территориальным органом Пенсионного фонда Российской Федерации со дня обращения за ней с письменным заявлением и всеми необходимыми документами</w:t>
      </w:r>
      <w:r w:rsidRPr="00875FB3">
        <w:rPr>
          <w:rStyle w:val="FontStyle12"/>
          <w:i/>
          <w:iCs/>
          <w:sz w:val="26"/>
          <w:szCs w:val="26"/>
        </w:rPr>
        <w:t xml:space="preserve">. </w:t>
      </w:r>
      <w:r w:rsidRPr="00875FB3">
        <w:rPr>
          <w:rStyle w:val="FontStyle12"/>
          <w:sz w:val="26"/>
          <w:szCs w:val="26"/>
        </w:rPr>
        <w:t xml:space="preserve">Ее размер подлежит индексации один раз в год с 1 апреля, исходя из уровня инфляции. </w:t>
      </w:r>
      <w:r w:rsidRPr="00875FB3">
        <w:rPr>
          <w:rStyle w:val="FontStyle12"/>
          <w:i/>
          <w:iCs/>
          <w:sz w:val="26"/>
          <w:szCs w:val="26"/>
        </w:rPr>
        <w:t xml:space="preserve"> </w:t>
      </w:r>
    </w:p>
    <w:p w:rsidR="00D8395F" w:rsidRPr="00875FB3" w:rsidRDefault="00D8395F" w:rsidP="00D8395F">
      <w:pPr>
        <w:autoSpaceDE w:val="0"/>
        <w:autoSpaceDN w:val="0"/>
        <w:adjustRightInd w:val="0"/>
        <w:ind w:firstLine="540"/>
        <w:jc w:val="both"/>
        <w:rPr>
          <w:sz w:val="26"/>
          <w:szCs w:val="26"/>
        </w:rPr>
      </w:pPr>
      <w:r w:rsidRPr="00875FB3">
        <w:rPr>
          <w:sz w:val="26"/>
          <w:szCs w:val="26"/>
        </w:rPr>
        <w:t>Граждане подают письменное заявление о назначении ЕДВ в территориальный орган Пенсионного фонда Российской Федерации по месту жительства.</w:t>
      </w:r>
    </w:p>
    <w:p w:rsidR="00D8395F" w:rsidRPr="00875FB3" w:rsidRDefault="00D8395F" w:rsidP="00D8395F">
      <w:pPr>
        <w:pStyle w:val="a3"/>
        <w:spacing w:after="0" w:afterAutospacing="0"/>
        <w:ind w:firstLine="540"/>
        <w:jc w:val="both"/>
        <w:rPr>
          <w:b/>
          <w:color w:val="0000FF"/>
          <w:sz w:val="26"/>
          <w:szCs w:val="26"/>
        </w:rPr>
      </w:pPr>
      <w:r w:rsidRPr="00875FB3">
        <w:rPr>
          <w:b/>
          <w:color w:val="0000FF"/>
          <w:sz w:val="26"/>
          <w:szCs w:val="26"/>
        </w:rPr>
        <w:t>К заявлению об установлении ЕДВ должны быть приложены следующие документы:</w:t>
      </w:r>
    </w:p>
    <w:tbl>
      <w:tblPr>
        <w:tblW w:w="0" w:type="auto"/>
        <w:tblLook w:val="01E0"/>
      </w:tblPr>
      <w:tblGrid>
        <w:gridCol w:w="6588"/>
        <w:gridCol w:w="4740"/>
      </w:tblGrid>
      <w:tr w:rsidR="00D8395F" w:rsidRPr="00875FB3" w:rsidTr="00102877">
        <w:trPr>
          <w:trHeight w:val="3131"/>
        </w:trPr>
        <w:tc>
          <w:tcPr>
            <w:tcW w:w="6588" w:type="dxa"/>
          </w:tcPr>
          <w:p w:rsidR="00D8395F" w:rsidRPr="00875FB3" w:rsidRDefault="00D8395F" w:rsidP="00D8395F">
            <w:pPr>
              <w:numPr>
                <w:ilvl w:val="0"/>
                <w:numId w:val="2"/>
              </w:numPr>
              <w:tabs>
                <w:tab w:val="clear" w:pos="1080"/>
                <w:tab w:val="num" w:pos="720"/>
              </w:tabs>
              <w:spacing w:before="100" w:beforeAutospacing="1"/>
              <w:ind w:hanging="720"/>
              <w:jc w:val="both"/>
              <w:rPr>
                <w:sz w:val="26"/>
                <w:szCs w:val="26"/>
              </w:rPr>
            </w:pPr>
            <w:r w:rsidRPr="00875FB3">
              <w:rPr>
                <w:sz w:val="26"/>
                <w:szCs w:val="26"/>
              </w:rPr>
              <w:t>паспорт</w:t>
            </w:r>
          </w:p>
          <w:p w:rsidR="00D8395F" w:rsidRPr="00875FB3" w:rsidRDefault="00D8395F" w:rsidP="00D8395F">
            <w:pPr>
              <w:numPr>
                <w:ilvl w:val="0"/>
                <w:numId w:val="2"/>
              </w:numPr>
              <w:tabs>
                <w:tab w:val="clear" w:pos="1080"/>
                <w:tab w:val="num" w:pos="720"/>
              </w:tabs>
              <w:spacing w:before="100" w:beforeAutospacing="1"/>
              <w:ind w:hanging="720"/>
              <w:jc w:val="both"/>
              <w:rPr>
                <w:sz w:val="26"/>
                <w:szCs w:val="26"/>
              </w:rPr>
            </w:pPr>
            <w:r w:rsidRPr="00875FB3">
              <w:rPr>
                <w:sz w:val="26"/>
                <w:szCs w:val="26"/>
              </w:rPr>
              <w:t>пенсионное страховое свидетельство</w:t>
            </w:r>
          </w:p>
          <w:p w:rsidR="00D8395F" w:rsidRPr="00875FB3" w:rsidRDefault="00D8395F" w:rsidP="00D8395F">
            <w:pPr>
              <w:numPr>
                <w:ilvl w:val="0"/>
                <w:numId w:val="2"/>
              </w:numPr>
              <w:tabs>
                <w:tab w:val="clear" w:pos="1080"/>
                <w:tab w:val="num" w:pos="720"/>
              </w:tabs>
              <w:spacing w:before="100" w:beforeAutospacing="1"/>
              <w:ind w:left="720"/>
              <w:jc w:val="both"/>
              <w:rPr>
                <w:sz w:val="26"/>
                <w:szCs w:val="26"/>
              </w:rPr>
            </w:pPr>
            <w:r w:rsidRPr="00875FB3">
              <w:rPr>
                <w:sz w:val="26"/>
                <w:szCs w:val="26"/>
              </w:rPr>
              <w:t>документы о праве на льготы (удостоверение, выданное компетентными органами, справка медико-социальной экспертизы об установлении инвалидности и т.д.)</w:t>
            </w:r>
          </w:p>
          <w:p w:rsidR="00D8395F" w:rsidRPr="00875FB3" w:rsidRDefault="00D8395F" w:rsidP="00102877">
            <w:pPr>
              <w:pStyle w:val="a3"/>
              <w:spacing w:after="0" w:afterAutospacing="0"/>
              <w:ind w:firstLine="540"/>
              <w:jc w:val="both"/>
              <w:rPr>
                <w:b/>
                <w:color w:val="3366FF"/>
                <w:sz w:val="26"/>
                <w:szCs w:val="26"/>
              </w:rPr>
            </w:pPr>
          </w:p>
        </w:tc>
        <w:tc>
          <w:tcPr>
            <w:tcW w:w="4740" w:type="dxa"/>
          </w:tcPr>
          <w:p w:rsidR="00D8395F" w:rsidRPr="00875FB3" w:rsidRDefault="00D8395F" w:rsidP="00102877">
            <w:pPr>
              <w:pStyle w:val="a3"/>
              <w:spacing w:after="0" w:afterAutospacing="0"/>
              <w:jc w:val="both"/>
              <w:rPr>
                <w:b/>
                <w:color w:val="3366FF"/>
                <w:sz w:val="26"/>
                <w:szCs w:val="26"/>
              </w:rPr>
            </w:pPr>
            <w:r>
              <w:rPr>
                <w:noProof/>
                <w:color w:val="000000"/>
                <w:sz w:val="26"/>
                <w:szCs w:val="26"/>
              </w:rPr>
              <w:drawing>
                <wp:inline distT="0" distB="0" distL="0" distR="0">
                  <wp:extent cx="2809875" cy="1857375"/>
                  <wp:effectExtent l="19050" t="0" r="9525" b="0"/>
                  <wp:docPr id="2" name="Рисунок 2" descr="Без имени-1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 имени-12345"/>
                          <pic:cNvPicPr>
                            <a:picLocks noChangeAspect="1" noChangeArrowheads="1"/>
                          </pic:cNvPicPr>
                        </pic:nvPicPr>
                        <pic:blipFill>
                          <a:blip r:embed="rId6" cstate="print"/>
                          <a:srcRect/>
                          <a:stretch>
                            <a:fillRect/>
                          </a:stretch>
                        </pic:blipFill>
                        <pic:spPr bwMode="auto">
                          <a:xfrm>
                            <a:off x="0" y="0"/>
                            <a:ext cx="2809875" cy="1857375"/>
                          </a:xfrm>
                          <a:prstGeom prst="rect">
                            <a:avLst/>
                          </a:prstGeom>
                          <a:noFill/>
                          <a:ln w="9525">
                            <a:noFill/>
                            <a:miter lim="800000"/>
                            <a:headEnd/>
                            <a:tailEnd/>
                          </a:ln>
                        </pic:spPr>
                      </pic:pic>
                    </a:graphicData>
                  </a:graphic>
                </wp:inline>
              </w:drawing>
            </w:r>
          </w:p>
        </w:tc>
      </w:tr>
    </w:tbl>
    <w:p w:rsidR="00D8395F" w:rsidRPr="00875FB3" w:rsidRDefault="00D8395F" w:rsidP="00D8395F">
      <w:pPr>
        <w:pStyle w:val="a3"/>
        <w:spacing w:before="0" w:beforeAutospacing="0" w:after="0" w:afterAutospacing="0"/>
        <w:ind w:firstLine="540"/>
        <w:jc w:val="both"/>
        <w:rPr>
          <w:rFonts w:ascii="Century Gothic" w:hAnsi="Century Gothic"/>
          <w:b/>
          <w:color w:val="3366FF"/>
          <w:sz w:val="26"/>
          <w:szCs w:val="26"/>
        </w:rPr>
      </w:pPr>
      <w:r w:rsidRPr="00875FB3">
        <w:rPr>
          <w:sz w:val="26"/>
          <w:szCs w:val="26"/>
        </w:rPr>
        <w:t>В необходимых случаях прилагаются документы: удостоверяющие личность и полномочия законного представителя (усыновителя, опекуна, попечителя), подтверждающие родственные отношения, подтверждающие нахождение нетрудоспособного лица на иждивении и т.п.</w:t>
      </w:r>
    </w:p>
    <w:p w:rsidR="00D8395F" w:rsidRDefault="00D8395F" w:rsidP="00D8395F">
      <w:pPr>
        <w:pStyle w:val="a3"/>
        <w:spacing w:after="0" w:afterAutospacing="0"/>
        <w:ind w:firstLine="540"/>
        <w:jc w:val="both"/>
        <w:rPr>
          <w:rFonts w:ascii="Century Gothic" w:hAnsi="Century Gothic"/>
          <w:b/>
          <w:color w:val="3366FF"/>
        </w:rPr>
      </w:pPr>
      <w:r>
        <w:rPr>
          <w:rFonts w:ascii="Century Gothic" w:hAnsi="Century Gothic"/>
          <w:b/>
          <w:noProof/>
          <w:color w:val="3366FF"/>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6" type="#_x0000_t176" style="position:absolute;left:0;text-align:left;margin-left:-9pt;margin-top:5.85pt;width:567pt;height:141.5pt;z-index:251660288" fillcolor="blue" strokecolor="white">
            <v:textbox style="mso-next-textbox:#_x0000_s1026">
              <w:txbxContent>
                <w:p w:rsidR="00D8395F" w:rsidRPr="00875FB3" w:rsidRDefault="00D8395F" w:rsidP="00D8395F">
                  <w:pPr>
                    <w:pStyle w:val="Style2"/>
                    <w:widowControl/>
                    <w:spacing w:line="240" w:lineRule="auto"/>
                    <w:ind w:firstLine="540"/>
                    <w:rPr>
                      <w:rStyle w:val="FontStyle12"/>
                      <w:b/>
                      <w:color w:val="FFFFFF"/>
                    </w:rPr>
                  </w:pPr>
                  <w:r w:rsidRPr="00875FB3">
                    <w:rPr>
                      <w:rStyle w:val="FontStyle12"/>
                      <w:b/>
                      <w:color w:val="FFFFFF"/>
                    </w:rPr>
                    <w:t xml:space="preserve">В случае если гражданин одновременно имеет право на получение ЕДВ по нескольким основаниям в рамках одного закона, ЕДВ устанавливается по одному основанию, предусматривающему более высокий размер выплаты. </w:t>
                  </w:r>
                </w:p>
                <w:p w:rsidR="00D8395F" w:rsidRPr="00875FB3" w:rsidRDefault="00D8395F" w:rsidP="00D8395F">
                  <w:pPr>
                    <w:pStyle w:val="Style2"/>
                    <w:widowControl/>
                    <w:spacing w:line="240" w:lineRule="auto"/>
                    <w:ind w:firstLine="540"/>
                    <w:rPr>
                      <w:rStyle w:val="FontStyle12"/>
                      <w:b/>
                      <w:color w:val="FFFFFF"/>
                      <w:spacing w:val="-10"/>
                    </w:rPr>
                  </w:pPr>
                  <w:r w:rsidRPr="00875FB3">
                    <w:rPr>
                      <w:rStyle w:val="FontStyle12"/>
                      <w:b/>
                      <w:color w:val="FFFFFF"/>
                      <w:spacing w:val="-10"/>
                    </w:rPr>
                    <w:t xml:space="preserve">Если гражданин одновременно имеет право на ЕДВ по нескольким федеральным законам или иным нормативным актам, ему предоставляется одна ЕДВ по одному из оснований по выбору гражданина. </w:t>
                  </w:r>
                </w:p>
                <w:p w:rsidR="00D8395F" w:rsidRPr="00875FB3" w:rsidRDefault="00D8395F" w:rsidP="00D8395F">
                  <w:pPr>
                    <w:pStyle w:val="Style2"/>
                    <w:widowControl/>
                    <w:spacing w:line="240" w:lineRule="auto"/>
                    <w:ind w:firstLine="540"/>
                    <w:rPr>
                      <w:rStyle w:val="FontStyle12"/>
                      <w:b/>
                      <w:color w:val="FFFFFF"/>
                    </w:rPr>
                  </w:pPr>
                  <w:r w:rsidRPr="00875FB3">
                    <w:rPr>
                      <w:rStyle w:val="FontStyle12"/>
                      <w:b/>
                      <w:color w:val="FFFFFF"/>
                    </w:rPr>
                    <w:t>Гражданам, подвергшимся воздействию радиации, имеющим право на ЕДВ по Закону Российской Федерации от 15.05.1991 № 1244-1 «О социальной защите граждан, подвергшихся воздействию радиации вследствие катастрофы на Чернобыльской АЭС» и одновременно по другому нормативному правовому акту, устанавливаются две ЕДВ.</w:t>
                  </w:r>
                </w:p>
                <w:p w:rsidR="00D8395F" w:rsidRDefault="00D8395F" w:rsidP="00D8395F"/>
              </w:txbxContent>
            </v:textbox>
          </v:shape>
        </w:pict>
      </w:r>
    </w:p>
    <w:p w:rsidR="00D8395F" w:rsidRPr="00693615" w:rsidRDefault="00D8395F" w:rsidP="00D8395F">
      <w:pPr>
        <w:pStyle w:val="a3"/>
        <w:spacing w:after="0" w:afterAutospacing="0"/>
        <w:ind w:firstLine="540"/>
        <w:jc w:val="both"/>
        <w:rPr>
          <w:rFonts w:ascii="Century Gothic" w:hAnsi="Century Gothic"/>
          <w:b/>
          <w:color w:val="3366FF"/>
        </w:rPr>
      </w:pPr>
    </w:p>
    <w:p w:rsidR="00D8395F" w:rsidRDefault="00D8395F" w:rsidP="00D8395F">
      <w:pPr>
        <w:pStyle w:val="a3"/>
        <w:jc w:val="both"/>
        <w:rPr>
          <w:rFonts w:ascii="Century Gothic" w:hAnsi="Century Gothic"/>
          <w:sz w:val="20"/>
          <w:szCs w:val="20"/>
        </w:rPr>
      </w:pPr>
    </w:p>
    <w:p w:rsidR="00D8395F" w:rsidRDefault="00D8395F" w:rsidP="00D8395F">
      <w:pPr>
        <w:pStyle w:val="a3"/>
        <w:jc w:val="both"/>
        <w:rPr>
          <w:rFonts w:ascii="Century Gothic" w:hAnsi="Century Gothic"/>
          <w:sz w:val="20"/>
          <w:szCs w:val="20"/>
        </w:rPr>
      </w:pPr>
    </w:p>
    <w:p w:rsidR="00D8395F" w:rsidRDefault="00D8395F" w:rsidP="00D8395F">
      <w:pPr>
        <w:pStyle w:val="a3"/>
        <w:jc w:val="both"/>
        <w:rPr>
          <w:rFonts w:ascii="Century Gothic" w:hAnsi="Century Gothic"/>
          <w:sz w:val="20"/>
          <w:szCs w:val="20"/>
        </w:rPr>
      </w:pPr>
    </w:p>
    <w:p w:rsidR="00D8395F" w:rsidRPr="00875FB3" w:rsidRDefault="00D8395F" w:rsidP="00D8395F">
      <w:pPr>
        <w:pStyle w:val="a3"/>
        <w:spacing w:before="0" w:beforeAutospacing="0" w:after="0" w:afterAutospacing="0"/>
        <w:ind w:firstLine="540"/>
        <w:jc w:val="both"/>
        <w:rPr>
          <w:sz w:val="32"/>
          <w:szCs w:val="32"/>
        </w:rPr>
      </w:pPr>
      <w:r w:rsidRPr="00875FB3">
        <w:rPr>
          <w:sz w:val="26"/>
          <w:szCs w:val="26"/>
        </w:rPr>
        <w:t>В случае, когда ежемесячная денежная выплата назначается несовершеннолетним или недееспособным, заявление подается по месту жительства его родителя (усыновителя, опекуна, попечителя). При этом, если родители ребенка проживают раздельно, то заявление подается по месту жительства того из родителей, с которым проживает ребенок. Несовершеннолетний, достигший 14 лет, вправе обратиться за установлением ежемесячной денежной выплаты самостоятельно.</w:t>
      </w:r>
    </w:p>
    <w:p w:rsidR="00F34627" w:rsidRDefault="00F34627" w:rsidP="00D8395F"/>
    <w:sectPr w:rsidR="00F34627" w:rsidSect="00D8395F">
      <w:pgSz w:w="11906" w:h="16838"/>
      <w:pgMar w:top="426" w:right="282" w:bottom="142"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F974D5"/>
    <w:multiLevelType w:val="hybridMultilevel"/>
    <w:tmpl w:val="A198E9D0"/>
    <w:lvl w:ilvl="0" w:tplc="24564D48">
      <w:start w:val="1"/>
      <w:numFmt w:val="bullet"/>
      <w:lvlText w:val=""/>
      <w:lvlJc w:val="left"/>
      <w:pPr>
        <w:tabs>
          <w:tab w:val="num" w:pos="1080"/>
        </w:tabs>
        <w:ind w:left="1080" w:hanging="360"/>
      </w:pPr>
      <w:rPr>
        <w:rFonts w:ascii="Wingdings" w:hAnsi="Wingdings" w:hint="default"/>
        <w:b/>
        <w:color w:val="3366FF"/>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56AC52C7"/>
    <w:multiLevelType w:val="hybridMultilevel"/>
    <w:tmpl w:val="C330B9B0"/>
    <w:lvl w:ilvl="0" w:tplc="24564D48">
      <w:start w:val="1"/>
      <w:numFmt w:val="bullet"/>
      <w:lvlText w:val=""/>
      <w:lvlJc w:val="left"/>
      <w:pPr>
        <w:tabs>
          <w:tab w:val="num" w:pos="720"/>
        </w:tabs>
        <w:ind w:left="720" w:hanging="360"/>
      </w:pPr>
      <w:rPr>
        <w:rFonts w:ascii="Wingdings" w:hAnsi="Wingdings" w:hint="default"/>
        <w:b/>
        <w:color w:val="3366FF"/>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395F"/>
    <w:rsid w:val="008C59AD"/>
    <w:rsid w:val="00D8395F"/>
    <w:rsid w:val="00F346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95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D8395F"/>
    <w:pPr>
      <w:spacing w:before="100" w:beforeAutospacing="1" w:after="100" w:afterAutospacing="1"/>
    </w:pPr>
  </w:style>
  <w:style w:type="paragraph" w:customStyle="1" w:styleId="Style2">
    <w:name w:val="Style2"/>
    <w:basedOn w:val="a"/>
    <w:rsid w:val="00D8395F"/>
    <w:pPr>
      <w:widowControl w:val="0"/>
      <w:autoSpaceDE w:val="0"/>
      <w:autoSpaceDN w:val="0"/>
      <w:adjustRightInd w:val="0"/>
      <w:spacing w:line="260" w:lineRule="exact"/>
      <w:ind w:firstLine="278"/>
      <w:jc w:val="both"/>
    </w:pPr>
  </w:style>
  <w:style w:type="character" w:customStyle="1" w:styleId="FontStyle12">
    <w:name w:val="Font Style12"/>
    <w:basedOn w:val="a0"/>
    <w:rsid w:val="00D8395F"/>
    <w:rPr>
      <w:rFonts w:ascii="Times New Roman" w:hAnsi="Times New Roman" w:cs="Times New Roman"/>
      <w:color w:val="000000"/>
      <w:sz w:val="20"/>
      <w:szCs w:val="20"/>
    </w:rPr>
  </w:style>
  <w:style w:type="paragraph" w:styleId="3">
    <w:name w:val="Body Text Indent 3"/>
    <w:basedOn w:val="a"/>
    <w:link w:val="30"/>
    <w:rsid w:val="00D8395F"/>
    <w:pPr>
      <w:spacing w:after="120"/>
      <w:ind w:left="283"/>
    </w:pPr>
    <w:rPr>
      <w:sz w:val="16"/>
      <w:szCs w:val="16"/>
    </w:rPr>
  </w:style>
  <w:style w:type="character" w:customStyle="1" w:styleId="30">
    <w:name w:val="Основной текст с отступом 3 Знак"/>
    <w:basedOn w:val="a0"/>
    <w:link w:val="3"/>
    <w:rsid w:val="00D8395F"/>
    <w:rPr>
      <w:rFonts w:ascii="Times New Roman" w:eastAsia="Times New Roman" w:hAnsi="Times New Roman" w:cs="Times New Roman"/>
      <w:sz w:val="16"/>
      <w:szCs w:val="16"/>
      <w:lang w:eastAsia="ru-RU"/>
    </w:rPr>
  </w:style>
  <w:style w:type="paragraph" w:styleId="a4">
    <w:name w:val="Balloon Text"/>
    <w:basedOn w:val="a"/>
    <w:link w:val="a5"/>
    <w:uiPriority w:val="99"/>
    <w:semiHidden/>
    <w:unhideWhenUsed/>
    <w:rsid w:val="00D8395F"/>
    <w:rPr>
      <w:rFonts w:ascii="Tahoma" w:hAnsi="Tahoma" w:cs="Tahoma"/>
      <w:sz w:val="16"/>
      <w:szCs w:val="16"/>
    </w:rPr>
  </w:style>
  <w:style w:type="character" w:customStyle="1" w:styleId="a5">
    <w:name w:val="Текст выноски Знак"/>
    <w:basedOn w:val="a0"/>
    <w:link w:val="a4"/>
    <w:uiPriority w:val="99"/>
    <w:semiHidden/>
    <w:rsid w:val="00D8395F"/>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286</Words>
  <Characters>1634</Characters>
  <Application>Microsoft Office Word</Application>
  <DocSecurity>0</DocSecurity>
  <Lines>13</Lines>
  <Paragraphs>3</Paragraphs>
  <ScaleCrop>false</ScaleCrop>
  <Company/>
  <LinksUpToDate>false</LinksUpToDate>
  <CharactersWithSpaces>1917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2015-09-29T08:52:00Z</dcterms:created>
  <dcterms:modified xsi:type="dcterms:W3CDTF">2015-09-29T08:53:00Z</dcterms:modified>
</cp:coreProperties>
</file>