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42" w:type="dxa"/>
        <w:tblInd w:w="-252" w:type="dxa"/>
        <w:shd w:val="clear" w:color="auto" w:fill="00CCFF"/>
        <w:tblLook w:val="04A0"/>
      </w:tblPr>
      <w:tblGrid>
        <w:gridCol w:w="1920"/>
        <w:gridCol w:w="9922"/>
      </w:tblGrid>
      <w:tr w:rsidR="00BC6A30" w:rsidTr="00BC6A30">
        <w:trPr>
          <w:trHeight w:val="540"/>
        </w:trPr>
        <w:tc>
          <w:tcPr>
            <w:tcW w:w="1920" w:type="dxa"/>
            <w:shd w:val="clear" w:color="auto" w:fill="0000FF"/>
            <w:vAlign w:val="center"/>
            <w:hideMark/>
          </w:tcPr>
          <w:p w:rsidR="00BC6A30" w:rsidRDefault="00BC6A3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47725" cy="80010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2" w:type="dxa"/>
            <w:shd w:val="clear" w:color="auto" w:fill="0000FF"/>
            <w:vAlign w:val="center"/>
            <w:hideMark/>
          </w:tcPr>
          <w:p w:rsidR="00BC6A30" w:rsidRDefault="00BC6A30">
            <w:pPr>
              <w:jc w:val="center"/>
              <w:rPr>
                <w:b/>
                <w:color w:val="FFFFFF"/>
                <w:sz w:val="40"/>
                <w:szCs w:val="40"/>
              </w:rPr>
            </w:pPr>
            <w:r>
              <w:rPr>
                <w:b/>
                <w:sz w:val="56"/>
                <w:szCs w:val="56"/>
              </w:rPr>
              <w:t xml:space="preserve">Порядок и сроки уплаты страховых взносов на обязательное пенсионное и медицинское страхование </w:t>
            </w:r>
          </w:p>
        </w:tc>
      </w:tr>
    </w:tbl>
    <w:p w:rsidR="00BC6A30" w:rsidRDefault="00BC6A30" w:rsidP="00BC6A30">
      <w:pPr>
        <w:ind w:firstLine="709"/>
        <w:jc w:val="both"/>
        <w:rPr>
          <w:sz w:val="30"/>
          <w:szCs w:val="30"/>
        </w:rPr>
      </w:pPr>
    </w:p>
    <w:p w:rsidR="00BC6A30" w:rsidRDefault="00BC6A30" w:rsidP="00BC6A30">
      <w:pPr>
        <w:widowControl w:val="0"/>
        <w:shd w:val="clear" w:color="auto" w:fill="FFFFFF"/>
        <w:autoSpaceDE w:val="0"/>
        <w:autoSpaceDN w:val="0"/>
        <w:adjustRightInd w:val="0"/>
        <w:ind w:firstLine="210"/>
        <w:jc w:val="both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Страхователи  уплачивают страховые взносы* в бюджеты Пенсионного фонда Российской Федерации, Фонда </w:t>
      </w:r>
      <w:r>
        <w:rPr>
          <w:color w:val="000000"/>
          <w:spacing w:val="-4"/>
          <w:sz w:val="28"/>
          <w:szCs w:val="28"/>
        </w:rPr>
        <w:t>социального страхования Российской Федерации, Федерального фонда обязательного медицинского страхова</w:t>
      </w:r>
      <w:r>
        <w:rPr>
          <w:color w:val="000000"/>
          <w:spacing w:val="-4"/>
          <w:sz w:val="28"/>
          <w:szCs w:val="28"/>
        </w:rPr>
        <w:softHyphen/>
      </w:r>
      <w:r>
        <w:rPr>
          <w:color w:val="000000"/>
          <w:spacing w:val="-7"/>
          <w:sz w:val="28"/>
          <w:szCs w:val="28"/>
        </w:rPr>
        <w:t>ния.</w:t>
      </w:r>
    </w:p>
    <w:p w:rsidR="00BC6A30" w:rsidRDefault="00BC6A30" w:rsidP="00BC6A30">
      <w:pPr>
        <w:widowControl w:val="0"/>
        <w:shd w:val="clear" w:color="auto" w:fill="FFFFFF"/>
        <w:autoSpaceDE w:val="0"/>
        <w:autoSpaceDN w:val="0"/>
        <w:adjustRightInd w:val="0"/>
        <w:spacing w:before="91"/>
        <w:ind w:left="14" w:right="115" w:firstLine="192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С 1 января 2010 года Пенсионный фонд Российской Федерации и его территориальные органы контролируют </w:t>
      </w:r>
      <w:r>
        <w:rPr>
          <w:color w:val="000000"/>
          <w:spacing w:val="-3"/>
          <w:sz w:val="28"/>
          <w:szCs w:val="28"/>
        </w:rPr>
        <w:t>правильность исчисления, полноту и своевременность уплаты страховых взносов на обязательное пенсионное и медицинское страхование.</w:t>
      </w:r>
    </w:p>
    <w:p w:rsidR="00BC6A30" w:rsidRDefault="00BC6A30" w:rsidP="00BC6A30">
      <w:pPr>
        <w:widowControl w:val="0"/>
        <w:shd w:val="clear" w:color="auto" w:fill="FFFFFF"/>
        <w:autoSpaceDE w:val="0"/>
        <w:autoSpaceDN w:val="0"/>
        <w:adjustRightInd w:val="0"/>
        <w:ind w:left="204"/>
        <w:rPr>
          <w:b/>
          <w:bCs/>
          <w:color w:val="0C5CEB"/>
          <w:spacing w:val="-9"/>
          <w:sz w:val="28"/>
          <w:szCs w:val="28"/>
        </w:rPr>
      </w:pPr>
      <w:r>
        <w:rPr>
          <w:b/>
          <w:bCs/>
          <w:color w:val="0C5CEB"/>
          <w:spacing w:val="-9"/>
          <w:sz w:val="28"/>
          <w:szCs w:val="28"/>
        </w:rPr>
        <w:t>ПЛАТЕЛЬЩИКАМИ СТРАХОВЫХ ВЗНОСОВ ЯВЛЯЮТСЯ:</w:t>
      </w:r>
    </w:p>
    <w:p w:rsidR="00BC6A30" w:rsidRDefault="00BC6A30" w:rsidP="00BC6A30">
      <w:pPr>
        <w:widowControl w:val="0"/>
        <w:shd w:val="clear" w:color="auto" w:fill="FFFFFF"/>
        <w:autoSpaceDE w:val="0"/>
        <w:autoSpaceDN w:val="0"/>
        <w:adjustRightInd w:val="0"/>
        <w:ind w:left="204"/>
        <w:rPr>
          <w:sz w:val="28"/>
          <w:szCs w:val="28"/>
        </w:rPr>
      </w:pPr>
      <w:r>
        <w:rPr>
          <w:color w:val="0C5CEB"/>
          <w:sz w:val="28"/>
          <w:szCs w:val="28"/>
        </w:rPr>
        <w:t>■</w:t>
      </w:r>
      <w:r>
        <w:rPr>
          <w:color w:val="0C5CEB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>лица, производящие выплаты и иные вознаграждения физическим лицам:</w:t>
      </w:r>
    </w:p>
    <w:p w:rsidR="00BC6A30" w:rsidRDefault="00BC6A30" w:rsidP="00BC6A30">
      <w:pPr>
        <w:widowControl w:val="0"/>
        <w:numPr>
          <w:ilvl w:val="0"/>
          <w:numId w:val="1"/>
        </w:numPr>
        <w:shd w:val="clear" w:color="auto" w:fill="FFFFFF"/>
        <w:tabs>
          <w:tab w:val="left" w:pos="408"/>
        </w:tabs>
        <w:autoSpaceDE w:val="0"/>
        <w:autoSpaceDN w:val="0"/>
        <w:adjustRightInd w:val="0"/>
        <w:ind w:left="202"/>
        <w:rPr>
          <w:color w:val="0C5CEB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организации;</w:t>
      </w:r>
    </w:p>
    <w:p w:rsidR="00BC6A30" w:rsidRDefault="00BC6A30" w:rsidP="00BC6A30">
      <w:pPr>
        <w:widowControl w:val="0"/>
        <w:numPr>
          <w:ilvl w:val="0"/>
          <w:numId w:val="1"/>
        </w:numPr>
        <w:shd w:val="clear" w:color="auto" w:fill="FFFFFF"/>
        <w:tabs>
          <w:tab w:val="left" w:pos="408"/>
        </w:tabs>
        <w:autoSpaceDE w:val="0"/>
        <w:autoSpaceDN w:val="0"/>
        <w:adjustRightInd w:val="0"/>
        <w:ind w:left="202"/>
        <w:rPr>
          <w:color w:val="0C5CEB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индивидуальные предприниматели;</w:t>
      </w:r>
    </w:p>
    <w:p w:rsidR="00BC6A30" w:rsidRDefault="00BC6A30" w:rsidP="00BC6A30">
      <w:pPr>
        <w:widowControl w:val="0"/>
        <w:shd w:val="clear" w:color="auto" w:fill="FFFFFF"/>
        <w:autoSpaceDE w:val="0"/>
        <w:autoSpaceDN w:val="0"/>
        <w:adjustRightInd w:val="0"/>
        <w:ind w:left="202"/>
        <w:rPr>
          <w:color w:val="000000"/>
          <w:spacing w:val="-6"/>
          <w:sz w:val="28"/>
          <w:szCs w:val="28"/>
        </w:rPr>
      </w:pPr>
      <w:r>
        <w:rPr>
          <w:color w:val="0070C0"/>
          <w:spacing w:val="-6"/>
          <w:sz w:val="28"/>
          <w:szCs w:val="28"/>
        </w:rPr>
        <w:t>□</w:t>
      </w:r>
      <w:r>
        <w:rPr>
          <w:color w:val="000000"/>
          <w:spacing w:val="-6"/>
          <w:sz w:val="28"/>
          <w:szCs w:val="28"/>
        </w:rPr>
        <w:t xml:space="preserve"> физические лица, не признаваемые индивидуальными предпринимателями.</w:t>
      </w:r>
    </w:p>
    <w:p w:rsidR="00BC6A30" w:rsidRDefault="00BC6A30" w:rsidP="00BC6A30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before="58"/>
        <w:ind w:left="192" w:hanging="192"/>
        <w:rPr>
          <w:color w:val="000000"/>
          <w:spacing w:val="-1"/>
          <w:sz w:val="28"/>
          <w:szCs w:val="28"/>
        </w:rPr>
      </w:pPr>
      <w:r>
        <w:rPr>
          <w:color w:val="0C5CEB"/>
          <w:sz w:val="28"/>
          <w:szCs w:val="28"/>
        </w:rPr>
        <w:t xml:space="preserve">  ■</w:t>
      </w:r>
      <w:r>
        <w:rPr>
          <w:color w:val="0C5CEB"/>
          <w:sz w:val="28"/>
          <w:szCs w:val="28"/>
        </w:rPr>
        <w:tab/>
        <w:t xml:space="preserve">   </w:t>
      </w:r>
      <w:r>
        <w:rPr>
          <w:color w:val="000000"/>
          <w:spacing w:val="3"/>
          <w:sz w:val="28"/>
          <w:szCs w:val="28"/>
        </w:rPr>
        <w:t>индивидуальные предприниматели, адвокаты, нотариусы, занимающие</w:t>
      </w:r>
      <w:r>
        <w:rPr>
          <w:color w:val="000000"/>
          <w:spacing w:val="3"/>
          <w:sz w:val="28"/>
          <w:szCs w:val="28"/>
        </w:rPr>
        <w:softHyphen/>
      </w:r>
      <w:r>
        <w:rPr>
          <w:color w:val="000000"/>
          <w:spacing w:val="-1"/>
          <w:sz w:val="28"/>
          <w:szCs w:val="28"/>
        </w:rPr>
        <w:t>ся частной практикой, не производящие выплаты и</w:t>
      </w:r>
    </w:p>
    <w:p w:rsidR="00BC6A30" w:rsidRDefault="00BC6A30" w:rsidP="00BC6A30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before="58"/>
        <w:ind w:left="192" w:hanging="192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иные вознагражде</w:t>
      </w:r>
      <w:r>
        <w:rPr>
          <w:color w:val="000000"/>
          <w:spacing w:val="-4"/>
          <w:sz w:val="28"/>
          <w:szCs w:val="28"/>
        </w:rPr>
        <w:t>ния физическим лицам (</w:t>
      </w:r>
      <w:proofErr w:type="spellStart"/>
      <w:r>
        <w:rPr>
          <w:color w:val="000000"/>
          <w:spacing w:val="-4"/>
          <w:sz w:val="28"/>
          <w:szCs w:val="28"/>
        </w:rPr>
        <w:t>самозанятое</w:t>
      </w:r>
      <w:proofErr w:type="spellEnd"/>
      <w:r>
        <w:rPr>
          <w:color w:val="000000"/>
          <w:spacing w:val="-4"/>
          <w:sz w:val="28"/>
          <w:szCs w:val="28"/>
        </w:rPr>
        <w:t xml:space="preserve"> население).</w:t>
      </w:r>
    </w:p>
    <w:p w:rsidR="00BC6A30" w:rsidRDefault="00BC6A30" w:rsidP="00BC6A30">
      <w:pPr>
        <w:widowControl w:val="0"/>
        <w:shd w:val="clear" w:color="auto" w:fill="FFFFFF"/>
        <w:autoSpaceDE w:val="0"/>
        <w:autoSpaceDN w:val="0"/>
        <w:adjustRightInd w:val="0"/>
        <w:spacing w:before="144"/>
        <w:ind w:right="845" w:firstLine="709"/>
        <w:rPr>
          <w:color w:val="000000"/>
          <w:spacing w:val="-4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Если плательщик страховых взносов относится одновременно к </w:t>
      </w:r>
      <w:r>
        <w:rPr>
          <w:color w:val="000000"/>
          <w:spacing w:val="-2"/>
          <w:sz w:val="28"/>
          <w:szCs w:val="28"/>
        </w:rPr>
        <w:t xml:space="preserve">нескольким  категориям   плательщиков,  он  уплачивает страховые </w:t>
      </w:r>
      <w:r>
        <w:rPr>
          <w:color w:val="000000"/>
          <w:spacing w:val="-4"/>
          <w:sz w:val="28"/>
          <w:szCs w:val="28"/>
        </w:rPr>
        <w:t>взносы по каждому основанию.</w:t>
      </w:r>
    </w:p>
    <w:p w:rsidR="00BC6A30" w:rsidRDefault="00BC6A30" w:rsidP="00BC6A30">
      <w:pPr>
        <w:widowControl w:val="0"/>
        <w:shd w:val="clear" w:color="auto" w:fill="FFFFFF"/>
        <w:tabs>
          <w:tab w:val="left" w:pos="10348"/>
          <w:tab w:val="left" w:pos="10632"/>
        </w:tabs>
        <w:autoSpaceDE w:val="0"/>
        <w:autoSpaceDN w:val="0"/>
        <w:adjustRightInd w:val="0"/>
        <w:spacing w:before="144"/>
        <w:ind w:right="55"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-90170</wp:posOffset>
            </wp:positionH>
            <wp:positionV relativeFrom="paragraph">
              <wp:posOffset>92710</wp:posOffset>
            </wp:positionV>
            <wp:extent cx="7077075" cy="895350"/>
            <wp:effectExtent l="19050" t="0" r="952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075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000000"/>
          <w:spacing w:val="-3"/>
          <w:sz w:val="28"/>
          <w:szCs w:val="28"/>
        </w:rPr>
        <w:t>Уплачивать страховые взносы по каждому виду страхования необходимо отдельными расчетными докумен</w:t>
      </w:r>
      <w:r>
        <w:rPr>
          <w:color w:val="000000"/>
          <w:spacing w:val="-3"/>
          <w:sz w:val="28"/>
          <w:szCs w:val="28"/>
        </w:rPr>
        <w:softHyphen/>
        <w:t>тами, которые направляются в банк с указанием соответствующих счетов Федерального казначейства и кодов бюджетной классификации.</w:t>
      </w:r>
    </w:p>
    <w:p w:rsidR="00BC6A30" w:rsidRDefault="00BC6A30" w:rsidP="00BC6A30">
      <w:pPr>
        <w:shd w:val="clear" w:color="auto" w:fill="FFFFFF"/>
        <w:spacing w:before="139"/>
        <w:ind w:left="221"/>
        <w:rPr>
          <w:sz w:val="28"/>
          <w:szCs w:val="28"/>
        </w:rPr>
      </w:pPr>
      <w:r>
        <w:rPr>
          <w:b/>
          <w:bCs/>
          <w:color w:val="0C5CEB"/>
          <w:spacing w:val="-8"/>
          <w:sz w:val="28"/>
          <w:szCs w:val="28"/>
        </w:rPr>
        <w:t>БАЗА ДЛЯ НАЧИСЛЕНИЯ СТРАХОВЫХ ВЗНОСОВ</w:t>
      </w:r>
    </w:p>
    <w:p w:rsidR="00BC6A30" w:rsidRDefault="00BC6A30" w:rsidP="00BC6A30">
      <w:pPr>
        <w:shd w:val="clear" w:color="auto" w:fill="FFFFFF"/>
        <w:spacing w:before="96"/>
        <w:ind w:left="5" w:right="130" w:firstLine="202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База для начисления страховых взносов для плательщиков страховых взносов определяется как сумма </w:t>
      </w:r>
      <w:r>
        <w:rPr>
          <w:color w:val="000000"/>
          <w:spacing w:val="-3"/>
          <w:sz w:val="28"/>
          <w:szCs w:val="28"/>
        </w:rPr>
        <w:t>выплат и иных вознаграждений, начисленных за расчетный период в пользу физических лиц, за исключением сумм, которые не подлежат обложению страховыми взносами.</w:t>
      </w:r>
    </w:p>
    <w:p w:rsidR="00BC6A30" w:rsidRDefault="00BC6A30" w:rsidP="00BC6A30">
      <w:pPr>
        <w:shd w:val="clear" w:color="auto" w:fill="FFFFFF"/>
        <w:spacing w:before="96"/>
        <w:ind w:left="14" w:right="125" w:firstLine="202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Плательщики страховых взносов определяют базу для начисления страховых взносов отдельно в отношении каждого физического лица с начала расчетного периода по истечении каждого календарного месяца нарастаю</w:t>
      </w:r>
      <w:r>
        <w:rPr>
          <w:color w:val="000000"/>
          <w:spacing w:val="-4"/>
          <w:sz w:val="28"/>
          <w:szCs w:val="28"/>
        </w:rPr>
        <w:softHyphen/>
        <w:t>щим итогом.</w:t>
      </w:r>
    </w:p>
    <w:p w:rsidR="00BC6A30" w:rsidRDefault="00BC6A30" w:rsidP="00BC6A30">
      <w:pPr>
        <w:shd w:val="clear" w:color="auto" w:fill="FFFFFF"/>
        <w:spacing w:before="86"/>
        <w:ind w:left="14" w:right="125" w:firstLine="202"/>
        <w:jc w:val="both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Предельная величина базы для начисления страховых взносов на 2015 год в отношении каждого физического лица устанавливается в сумме, не </w:t>
      </w:r>
      <w:r>
        <w:rPr>
          <w:color w:val="000000"/>
          <w:spacing w:val="-4"/>
          <w:sz w:val="28"/>
          <w:szCs w:val="28"/>
        </w:rPr>
        <w:t>превышающей 711 000 рублей в год нарастающим итогом с начала расчетного периода.</w:t>
      </w:r>
    </w:p>
    <w:p w:rsidR="00BC6A30" w:rsidRDefault="00BC6A30" w:rsidP="00BC6A30">
      <w:pPr>
        <w:shd w:val="clear" w:color="auto" w:fill="FFFFFF"/>
        <w:ind w:left="14" w:right="130" w:firstLine="192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Свыше предельной величины базы для начисления страховых взносов установлен тариф страховых взносов на обязательное пенсионное страхование в размере 10 %.</w:t>
      </w:r>
    </w:p>
    <w:p w:rsidR="00BC6A30" w:rsidRDefault="00BC6A30" w:rsidP="00BC6A30">
      <w:pPr>
        <w:shd w:val="clear" w:color="auto" w:fill="FFFFFF"/>
        <w:ind w:left="14" w:right="130" w:firstLine="192"/>
        <w:jc w:val="both"/>
        <w:rPr>
          <w:color w:val="000000"/>
          <w:spacing w:val="-4"/>
          <w:sz w:val="16"/>
          <w:szCs w:val="16"/>
        </w:rPr>
      </w:pPr>
    </w:p>
    <w:p w:rsidR="00BC6A30" w:rsidRDefault="00BC6A30" w:rsidP="00BC6A30">
      <w:pPr>
        <w:shd w:val="clear" w:color="auto" w:fill="FFFFFF"/>
        <w:spacing w:line="259" w:lineRule="exact"/>
        <w:ind w:left="14" w:right="130" w:firstLine="192"/>
        <w:jc w:val="both"/>
      </w:pPr>
      <w:r>
        <w:rPr>
          <w:color w:val="000000"/>
          <w:spacing w:val="-8"/>
        </w:rPr>
        <w:t xml:space="preserve">* </w:t>
      </w:r>
      <w:r>
        <w:rPr>
          <w:i/>
          <w:iCs/>
          <w:color w:val="000000"/>
          <w:spacing w:val="-8"/>
        </w:rPr>
        <w:t xml:space="preserve">Регулируются Федеральным законом от 24.07.2009 № 212-ФЗ «О страховых взносах в Пенсионный фонд Российской Федерации, </w:t>
      </w:r>
      <w:r>
        <w:rPr>
          <w:i/>
          <w:iCs/>
          <w:color w:val="000000"/>
          <w:spacing w:val="-1"/>
        </w:rPr>
        <w:t xml:space="preserve">Фонд социального страхования Российской Федерации, </w:t>
      </w:r>
      <w:r>
        <w:rPr>
          <w:i/>
          <w:iCs/>
          <w:color w:val="000000"/>
          <w:spacing w:val="-5"/>
        </w:rPr>
        <w:t>Федеральный фонд обязательного медицинского страхования.</w:t>
      </w:r>
    </w:p>
    <w:p w:rsidR="00760E09" w:rsidRDefault="00760E09"/>
    <w:sectPr w:rsidR="00760E09" w:rsidSect="00BC6A30">
      <w:pgSz w:w="11906" w:h="16838"/>
      <w:pgMar w:top="142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FEBD02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□"/>
        <w:legacy w:legacy="1" w:legacySpace="0" w:legacyIndent="206"/>
        <w:lvlJc w:val="left"/>
        <w:pPr>
          <w:ind w:left="0" w:firstLine="0"/>
        </w:pPr>
        <w:rPr>
          <w:rFonts w:ascii="Arial" w:hAnsi="Arial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A30"/>
    <w:rsid w:val="00760E09"/>
    <w:rsid w:val="00BC6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A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A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2015-09-29T08:51:00Z</dcterms:created>
  <dcterms:modified xsi:type="dcterms:W3CDTF">2015-09-29T08:51:00Z</dcterms:modified>
</cp:coreProperties>
</file>