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677" w:rsidRPr="003B1677" w:rsidRDefault="003B1677" w:rsidP="003B1677">
      <w:pPr>
        <w:spacing w:before="100" w:beforeAutospacing="1" w:after="100" w:afterAutospacing="1" w:line="240" w:lineRule="auto"/>
        <w:jc w:val="center"/>
        <w:outlineLvl w:val="2"/>
        <w:rPr>
          <w:rFonts w:ascii="Trebuchet MS" w:eastAsia="Times New Roman" w:hAnsi="Trebuchet MS" w:cs="Times New Roman"/>
          <w:color w:val="0744A6"/>
          <w:sz w:val="27"/>
          <w:szCs w:val="27"/>
          <w:lang w:eastAsia="ru-RU"/>
        </w:rPr>
      </w:pPr>
      <w:r w:rsidRPr="003B1677">
        <w:rPr>
          <w:rFonts w:ascii="Trebuchet MS" w:eastAsia="Times New Roman" w:hAnsi="Trebuchet MS" w:cs="Times New Roman"/>
          <w:color w:val="0744A6"/>
          <w:sz w:val="27"/>
          <w:szCs w:val="27"/>
          <w:lang w:eastAsia="ru-RU"/>
        </w:rPr>
        <w:t xml:space="preserve">Накопительные пенсии «молчунов» превратились </w:t>
      </w:r>
      <w:proofErr w:type="gramStart"/>
      <w:r w:rsidRPr="003B1677">
        <w:rPr>
          <w:rFonts w:ascii="Trebuchet MS" w:eastAsia="Times New Roman" w:hAnsi="Trebuchet MS" w:cs="Times New Roman"/>
          <w:color w:val="0744A6"/>
          <w:sz w:val="27"/>
          <w:szCs w:val="27"/>
          <w:lang w:eastAsia="ru-RU"/>
        </w:rPr>
        <w:t>в</w:t>
      </w:r>
      <w:proofErr w:type="gramEnd"/>
      <w:r w:rsidRPr="003B1677">
        <w:rPr>
          <w:rFonts w:ascii="Trebuchet MS" w:eastAsia="Times New Roman" w:hAnsi="Trebuchet MS" w:cs="Times New Roman"/>
          <w:color w:val="0744A6"/>
          <w:sz w:val="27"/>
          <w:szCs w:val="27"/>
          <w:lang w:eastAsia="ru-RU"/>
        </w:rPr>
        <w:t xml:space="preserve"> страховые</w:t>
      </w:r>
    </w:p>
    <w:p w:rsidR="003B1677" w:rsidRPr="003B1677" w:rsidRDefault="003B1677" w:rsidP="003B1677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3B1677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</w:t>
      </w:r>
    </w:p>
    <w:p w:rsidR="003B1677" w:rsidRPr="003B1677" w:rsidRDefault="003B1677" w:rsidP="003B1677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3B1677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Страховая часть пенсии будет ежегодно индексироваться государством на процент не ниже инфляции</w:t>
      </w:r>
    </w:p>
    <w:p w:rsidR="003B1677" w:rsidRPr="003B1677" w:rsidRDefault="003B1677" w:rsidP="003B1677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3B1677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С 1 января накопительная часть пенсии тех россиян, кто доверил сбережения государственному Пенсионному фонду, стала страховой.</w:t>
      </w:r>
    </w:p>
    <w:p w:rsidR="003B1677" w:rsidRPr="003B1677" w:rsidRDefault="003B1677" w:rsidP="003B1677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3B1677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Это означает, что все 22% пенсионных взносов таких плательщиков (6% солидарного тарифа, из которого формируются пенсии всех россиян, и 16% индивидуального тарифа, то есть сумм на лицевом счете каждого отдельного пенсионера) теперь будут перечисляться в страховую часть.</w:t>
      </w:r>
    </w:p>
    <w:p w:rsidR="003B1677" w:rsidRPr="003B1677" w:rsidRDefault="003B1677" w:rsidP="003B1677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3B1677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Страховая часть пенсии будет ежегодно индексироваться государством на процент не ниже инфляции.</w:t>
      </w:r>
    </w:p>
    <w:p w:rsidR="003B1677" w:rsidRPr="003B1677" w:rsidRDefault="003B1677" w:rsidP="003B1677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3B1677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Если человек не доживает до выхода на пенсию, то накопительную часть, в каком бы фонде она ни находилась, получают его наследники. Наследование страховой части не предусмотрено.</w:t>
      </w:r>
    </w:p>
    <w:p w:rsidR="003B1677" w:rsidRPr="003B1677" w:rsidRDefault="003B1677" w:rsidP="003B1677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3B1677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Право перейти из одного пенсионного фонда в другой сохраняется за гражданами, имеющими накопительную часть пенсии, и в последующем. Единственное ограничение — без ущерба для собственной выгоды делать это можно не чаще одного раза в пять лет. В противном случае, все заработанные проценты остаются в фонде. Поэтому, прежде чем решиться на перевод накопительной части пенсии, нужно уточнить дату подачи заявления и взвесить все риски.</w:t>
      </w:r>
    </w:p>
    <w:p w:rsidR="003B1677" w:rsidRPr="003B1677" w:rsidRDefault="003B1677" w:rsidP="003B1677">
      <w:pPr>
        <w:spacing w:before="100" w:beforeAutospacing="1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3B1677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Напомним, существует два варианта направления страховых взносов на будущую пенсию: когда весь объем страховых взносов (16%) идет на страховую пенсию; и когда 10% идет на страховую пенсию, а 6% — на накопительную. В последнем случае гражданин имеет право перевести 6% под управление негосударственного пенсионного фонда или доверить их государству.</w:t>
      </w:r>
    </w:p>
    <w:p w:rsidR="006201FD" w:rsidRDefault="006201FD"/>
    <w:sectPr w:rsidR="006201FD" w:rsidSect="006201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1677"/>
    <w:rsid w:val="003B1677"/>
    <w:rsid w:val="006201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1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758660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47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90011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992723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4" w:color="B8B8B8"/>
                            <w:left w:val="single" w:sz="6" w:space="8" w:color="B8B8B8"/>
                            <w:bottom w:val="single" w:sz="6" w:space="4" w:color="B8B8B8"/>
                            <w:right w:val="single" w:sz="6" w:space="8" w:color="B8B8B8"/>
                          </w:divBdr>
                          <w:divsChild>
                            <w:div w:id="1856722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757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3120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2016-02-03T08:22:00Z</dcterms:created>
  <dcterms:modified xsi:type="dcterms:W3CDTF">2016-02-03T08:23:00Z</dcterms:modified>
</cp:coreProperties>
</file>