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B3" w:rsidRPr="00A570B3" w:rsidRDefault="00A570B3" w:rsidP="00A570B3">
      <w:pPr>
        <w:spacing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570B3">
        <w:rPr>
          <w:rFonts w:ascii="Arial" w:eastAsia="Times New Roman" w:hAnsi="Arial" w:cs="Arial"/>
          <w:b/>
          <w:bCs/>
          <w:lang w:eastAsia="ru-RU"/>
        </w:rPr>
        <w:t>Вы можете получить консультацию по следующим вопросам: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 xml:space="preserve">участие в программе </w:t>
      </w:r>
      <w:proofErr w:type="gramStart"/>
      <w:r w:rsidRPr="00A570B3">
        <w:rPr>
          <w:rFonts w:ascii="Arial" w:eastAsia="Times New Roman" w:hAnsi="Arial" w:cs="Arial"/>
          <w:i/>
          <w:iCs/>
          <w:lang w:eastAsia="ru-RU"/>
        </w:rPr>
        <w:t>государственного</w:t>
      </w:r>
      <w:proofErr w:type="gramEnd"/>
      <w:r w:rsidRPr="00A570B3">
        <w:rPr>
          <w:rFonts w:ascii="Arial" w:eastAsia="Times New Roman" w:hAnsi="Arial" w:cs="Arial"/>
          <w:i/>
          <w:iCs/>
          <w:lang w:eastAsia="ru-RU"/>
        </w:rPr>
        <w:t xml:space="preserve"> </w:t>
      </w:r>
      <w:proofErr w:type="spellStart"/>
      <w:r w:rsidRPr="00A570B3">
        <w:rPr>
          <w:rFonts w:ascii="Arial" w:eastAsia="Times New Roman" w:hAnsi="Arial" w:cs="Arial"/>
          <w:i/>
          <w:iCs/>
          <w:lang w:eastAsia="ru-RU"/>
        </w:rPr>
        <w:t>софинансирования</w:t>
      </w:r>
      <w:proofErr w:type="spellEnd"/>
      <w:r w:rsidRPr="00A570B3">
        <w:rPr>
          <w:rFonts w:ascii="Arial" w:eastAsia="Times New Roman" w:hAnsi="Arial" w:cs="Arial"/>
          <w:i/>
          <w:iCs/>
          <w:lang w:eastAsia="ru-RU"/>
        </w:rPr>
        <w:t xml:space="preserve"> пенсионных накоплений;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материнский (семейный) капитал;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порядок получения страхового номера индивидуального лицевого счета в системе обязательного пенсионного страхования;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переход в частную управляющую компанию или негосударственный пенсионный фонд;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порядок действий при обнаружении факта неправомерного перевода средств пенсионных накоплений в негосударственные пенсионные фонды;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услуги ПФР в электронном виде и с использованием системы межведомственного электронного взаимодействия;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получение информации о состоянии индивидуального лицевого счета в системе ОПС;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выбор варианта пенсионного обеспечения в системе ОПС;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порядок формирования пенсионных прав граждан и начисления пенсии в системе ОПС;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получение неработающими пенсионерами – «северянами» компенсации расходов, связанных с переездом к новому месту жительства;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работа с Личным кабинетом застрахованного лица;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порядок действий при аннулировании лицензии у НПФ;</w:t>
      </w:r>
    </w:p>
    <w:p w:rsidR="00A570B3" w:rsidRPr="00A570B3" w:rsidRDefault="00A570B3" w:rsidP="00A570B3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570B3">
        <w:rPr>
          <w:rFonts w:ascii="Arial" w:eastAsia="Times New Roman" w:hAnsi="Arial" w:cs="Arial"/>
          <w:i/>
          <w:iCs/>
          <w:lang w:eastAsia="ru-RU"/>
        </w:rPr>
        <w:t>индексация страховой пенсии в 2016 году.</w:t>
      </w:r>
    </w:p>
    <w:p w:rsidR="00F9116C" w:rsidRDefault="00F9116C"/>
    <w:sectPr w:rsidR="00F9116C" w:rsidSect="00F91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149B6"/>
    <w:multiLevelType w:val="multilevel"/>
    <w:tmpl w:val="9BB4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0B3"/>
    <w:rsid w:val="00A570B3"/>
    <w:rsid w:val="00F9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70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1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979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18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17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2016-05-02T08:14:00Z</dcterms:created>
  <dcterms:modified xsi:type="dcterms:W3CDTF">2016-05-02T08:15:00Z</dcterms:modified>
</cp:coreProperties>
</file>