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2B4" w:rsidRPr="004A72B4" w:rsidRDefault="004A72B4" w:rsidP="004A72B4">
      <w:pPr>
        <w:spacing w:after="450" w:line="810" w:lineRule="atLeast"/>
        <w:outlineLvl w:val="0"/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</w:pPr>
      <w:r w:rsidRPr="004A72B4"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  <w:t>Как зарегистрироваться и сняться с регистрационного учёта в ПФР</w:t>
      </w:r>
    </w:p>
    <w:p w:rsidR="004A72B4" w:rsidRPr="004A72B4" w:rsidRDefault="004A72B4" w:rsidP="004A72B4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4A72B4">
        <w:rPr>
          <w:rFonts w:ascii="diaria_promedium" w:eastAsia="Times New Roman" w:hAnsi="diaria_promedium" w:cs="Arial"/>
          <w:color w:val="000000"/>
          <w:sz w:val="24"/>
          <w:szCs w:val="24"/>
          <w:lang w:eastAsia="ru-RU"/>
        </w:rPr>
        <w:t>По закону об обязательном пенсионном страховании, регистрация страхователей является обязательной и осуществляется в территориальных органах Пенсионного фонда Российской Федерации.</w:t>
      </w:r>
    </w:p>
    <w:p w:rsidR="004A72B4" w:rsidRPr="004A72B4" w:rsidRDefault="004A72B4" w:rsidP="004A72B4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4A72B4">
        <w:rPr>
          <w:rFonts w:ascii="diaria_promedium" w:eastAsia="Times New Roman" w:hAnsi="diaria_promedium" w:cs="Arial"/>
          <w:color w:val="000000"/>
          <w:sz w:val="24"/>
          <w:szCs w:val="24"/>
          <w:lang w:eastAsia="ru-RU"/>
        </w:rPr>
        <w:t>Регистрация и снятие с регистрационного учета осуществляется в соответствии со статьей 11 Федерального закона от 15 декабря 2001 года № 167-ФЗ «Об обязательном пенсионном страховании в Российской Федерации».</w:t>
      </w:r>
    </w:p>
    <w:p w:rsidR="004A72B4" w:rsidRPr="004A72B4" w:rsidRDefault="004A72B4" w:rsidP="004A72B4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hyperlink r:id="rId5" w:tgtFrame="_blank" w:history="1">
        <w:r w:rsidRPr="004A72B4">
          <w:rPr>
            <w:rFonts w:ascii="diaria_promedium" w:eastAsia="Times New Roman" w:hAnsi="diaria_promedium" w:cs="Arial"/>
            <w:b/>
            <w:bCs/>
            <w:color w:val="0B7FA4"/>
            <w:sz w:val="24"/>
            <w:lang w:eastAsia="ru-RU"/>
          </w:rPr>
          <w:t>Кому необходимо регистрироваться в ПФР</w:t>
        </w:r>
      </w:hyperlink>
    </w:p>
    <w:p w:rsidR="004A72B4" w:rsidRPr="004A72B4" w:rsidRDefault="004A72B4" w:rsidP="004A72B4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hyperlink r:id="rId6" w:tgtFrame="_blank" w:history="1">
        <w:r w:rsidRPr="004A72B4">
          <w:rPr>
            <w:rFonts w:ascii="diaria_promedium" w:eastAsia="Times New Roman" w:hAnsi="diaria_promedium" w:cs="Arial"/>
            <w:b/>
            <w:bCs/>
            <w:color w:val="0B7FA4"/>
            <w:sz w:val="24"/>
            <w:lang w:eastAsia="ru-RU"/>
          </w:rPr>
          <w:t>Регистрация и снятие с регистрационного учета работодателей, производящих выплаты физическим лицам</w:t>
        </w:r>
      </w:hyperlink>
    </w:p>
    <w:p w:rsidR="004A72B4" w:rsidRPr="004A72B4" w:rsidRDefault="004A72B4" w:rsidP="004A72B4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4A72B4">
        <w:rPr>
          <w:rFonts w:ascii="diaria_promedium" w:eastAsia="Times New Roman" w:hAnsi="diaria_promedium" w:cs="Arial"/>
          <w:b/>
          <w:bCs/>
          <w:color w:val="4DA6E8"/>
          <w:sz w:val="24"/>
          <w:lang w:eastAsia="ru-RU"/>
        </w:rPr>
        <w:t>Организации</w:t>
      </w:r>
    </w:p>
    <w:p w:rsidR="004A72B4" w:rsidRPr="004A72B4" w:rsidRDefault="004A72B4" w:rsidP="004A72B4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4A72B4">
        <w:rPr>
          <w:rFonts w:ascii="diaria_promedium" w:eastAsia="Times New Roman" w:hAnsi="diaria_promedium" w:cs="Arial"/>
          <w:color w:val="000000"/>
          <w:sz w:val="24"/>
          <w:szCs w:val="24"/>
          <w:lang w:eastAsia="ru-RU"/>
        </w:rPr>
        <w:t xml:space="preserve">Регистрация и снятие с регистрационного учета работодателей – организаций осуществляется в </w:t>
      </w:r>
      <w:proofErr w:type="spellStart"/>
      <w:r w:rsidRPr="004A72B4">
        <w:rPr>
          <w:rFonts w:ascii="diaria_promedium" w:eastAsia="Times New Roman" w:hAnsi="diaria_promedium" w:cs="Arial"/>
          <w:color w:val="000000"/>
          <w:sz w:val="24"/>
          <w:szCs w:val="24"/>
          <w:lang w:eastAsia="ru-RU"/>
        </w:rPr>
        <w:t>беззаявительном</w:t>
      </w:r>
      <w:proofErr w:type="spellEnd"/>
      <w:r w:rsidRPr="004A72B4">
        <w:rPr>
          <w:rFonts w:ascii="diaria_promedium" w:eastAsia="Times New Roman" w:hAnsi="diaria_promedium" w:cs="Arial"/>
          <w:color w:val="000000"/>
          <w:sz w:val="24"/>
          <w:szCs w:val="24"/>
          <w:lang w:eastAsia="ru-RU"/>
        </w:rPr>
        <w:t xml:space="preserve"> порядке в срок, не превышающий трех рабочих дней со дня поступления в территориальные органы Пенсионного фонда Российской Федерации сведений из Федеральной налоговой службы.</w:t>
      </w:r>
    </w:p>
    <w:p w:rsidR="004A72B4" w:rsidRPr="004A72B4" w:rsidRDefault="004A72B4" w:rsidP="004A72B4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4A72B4">
        <w:rPr>
          <w:rFonts w:ascii="diaria_promedium" w:eastAsia="Times New Roman" w:hAnsi="diaria_promedium" w:cs="Arial"/>
          <w:color w:val="000000"/>
          <w:sz w:val="24"/>
          <w:szCs w:val="24"/>
          <w:lang w:eastAsia="ru-RU"/>
        </w:rPr>
        <w:t>Документ, подтверждающий факт регистрации, может быть направлен страхователю по почте, в форме электронного документа, подписанного квалифицированной электронной подписью, а также по адресу электронной почты, содержащемуся в составе сведений ЕГРЮЛ. Уведомление о регистрации и снятии с регистрационного учета в Пенсионном фонде Российской Федерации с регистрационным номером на бумажном носителе плательщик вправе получить добровольно по запросу в срок не превышающей трех рабочих дней со дня соответствующего запроса.</w:t>
      </w:r>
    </w:p>
    <w:p w:rsidR="004A72B4" w:rsidRPr="004A72B4" w:rsidRDefault="004A72B4" w:rsidP="004A72B4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4A72B4">
        <w:rPr>
          <w:rFonts w:ascii="diaria_promedium" w:eastAsia="Times New Roman" w:hAnsi="diaria_promedium" w:cs="Arial"/>
          <w:color w:val="000000"/>
          <w:sz w:val="24"/>
          <w:szCs w:val="24"/>
          <w:lang w:eastAsia="ru-RU"/>
        </w:rPr>
        <w:lastRenderedPageBreak/>
        <w:t>Постановка на регистрационный учет и снятие с регистрационного учета не требует обращения плательщика в Пенсионный фонд Российской Федерации.</w:t>
      </w:r>
    </w:p>
    <w:p w:rsidR="004A72B4" w:rsidRPr="004A72B4" w:rsidRDefault="004A72B4" w:rsidP="004A72B4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4A72B4">
        <w:rPr>
          <w:rFonts w:ascii="diaria_promedium" w:eastAsia="Times New Roman" w:hAnsi="diaria_promedium" w:cs="Arial"/>
          <w:b/>
          <w:bCs/>
          <w:color w:val="4DA6E8"/>
          <w:sz w:val="24"/>
          <w:lang w:eastAsia="ru-RU"/>
        </w:rPr>
        <w:t>Физические лица, производящие выплаты физическим лицам - индивидуальные предприниматели (в том числе главы КФХ), нотариусы, занимающиеся частной практикой, адвокаты, иные лица, занимающие частной практикой и не являющиеся индивидуальными предпринимателями</w:t>
      </w:r>
    </w:p>
    <w:p w:rsidR="004A72B4" w:rsidRPr="004A72B4" w:rsidRDefault="004A72B4" w:rsidP="004A72B4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4A72B4">
        <w:rPr>
          <w:rFonts w:ascii="diaria_promedium" w:eastAsia="Times New Roman" w:hAnsi="diaria_promedium" w:cs="Arial"/>
          <w:color w:val="000000"/>
          <w:sz w:val="24"/>
          <w:szCs w:val="24"/>
          <w:lang w:eastAsia="ru-RU"/>
        </w:rPr>
        <w:t>Регистрация и снятие с регистрационного учета осуществляется в заявительном порядке.</w:t>
      </w:r>
    </w:p>
    <w:p w:rsidR="004A72B4" w:rsidRPr="004A72B4" w:rsidRDefault="004A72B4" w:rsidP="004A72B4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4A72B4">
        <w:rPr>
          <w:rFonts w:ascii="diaria_promedium" w:eastAsia="Times New Roman" w:hAnsi="diaria_promedium" w:cs="Arial"/>
          <w:color w:val="000000"/>
          <w:sz w:val="24"/>
          <w:szCs w:val="24"/>
          <w:lang w:eastAsia="ru-RU"/>
        </w:rPr>
        <w:t>Физические лица, заключившие трудовые договоры с работниками, а также выплачивающие по договорам гражданско-правового характера вознаграждения, на которые в соответствии с российским законодательством начисляются страховые взносы, должны быть зарегистрированы в Пенсионном фонде Российской Федерации по месту жительства. Для этого им необходимо не позднее 30 дней со дня заключения соответствующих договоров представить в территориальный орган ПФР следующие документы:</w:t>
      </w:r>
    </w:p>
    <w:p w:rsidR="004A72B4" w:rsidRPr="004A72B4" w:rsidRDefault="004A72B4" w:rsidP="004A72B4">
      <w:pPr>
        <w:numPr>
          <w:ilvl w:val="0"/>
          <w:numId w:val="1"/>
        </w:numPr>
        <w:spacing w:after="450" w:line="450" w:lineRule="atLeast"/>
        <w:ind w:left="0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4A72B4">
        <w:rPr>
          <w:rFonts w:ascii="diaria_promedium" w:eastAsia="Times New Roman" w:hAnsi="diaria_promedium" w:cs="Arial"/>
          <w:i/>
          <w:iCs/>
          <w:color w:val="000000"/>
          <w:sz w:val="24"/>
          <w:szCs w:val="24"/>
          <w:lang w:eastAsia="ru-RU"/>
        </w:rPr>
        <w:t>заявление о регистрации страхователя, производящего выплаты физическим лицам, в территориальном органе Пенсионного фонда Российской Федерации;</w:t>
      </w:r>
    </w:p>
    <w:p w:rsidR="004A72B4" w:rsidRPr="004A72B4" w:rsidRDefault="004A72B4" w:rsidP="004A72B4">
      <w:pPr>
        <w:numPr>
          <w:ilvl w:val="0"/>
          <w:numId w:val="1"/>
        </w:numPr>
        <w:spacing w:after="450" w:line="450" w:lineRule="atLeast"/>
        <w:ind w:left="0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4A72B4">
        <w:rPr>
          <w:rFonts w:ascii="diaria_promedium" w:eastAsia="Times New Roman" w:hAnsi="diaria_promedium" w:cs="Arial"/>
          <w:i/>
          <w:iCs/>
          <w:color w:val="000000"/>
          <w:sz w:val="24"/>
          <w:szCs w:val="24"/>
          <w:lang w:eastAsia="ru-RU"/>
        </w:rPr>
        <w:t>документы, подтверждающих наличие у физического лица обязанности уплачивать страховые взносы на обязательное пенсионное страхование (трудовой договор, договор гражданско-правового характера, предметом которого является выполнение работ и оказание услуг, авторский договор, др.).</w:t>
      </w:r>
    </w:p>
    <w:p w:rsidR="004A72B4" w:rsidRPr="004A72B4" w:rsidRDefault="004A72B4" w:rsidP="004A72B4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4A72B4">
        <w:rPr>
          <w:rFonts w:ascii="diaria_promedium" w:eastAsia="Times New Roman" w:hAnsi="diaria_promedium" w:cs="Arial"/>
          <w:color w:val="000000"/>
          <w:sz w:val="24"/>
          <w:szCs w:val="24"/>
          <w:lang w:eastAsia="ru-RU"/>
        </w:rPr>
        <w:t>Регистрация в качестве страхователя физического лица осуществляется в срок, не превышающий трех рабочих дней со дня представления полного пакета документов.</w:t>
      </w:r>
    </w:p>
    <w:p w:rsidR="004A72B4" w:rsidRPr="004A72B4" w:rsidRDefault="004A72B4" w:rsidP="004A72B4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4A72B4">
        <w:rPr>
          <w:rFonts w:ascii="diaria_promedium" w:eastAsia="Times New Roman" w:hAnsi="diaria_promedium" w:cs="Arial"/>
          <w:color w:val="000000"/>
          <w:sz w:val="24"/>
          <w:szCs w:val="24"/>
          <w:lang w:eastAsia="ru-RU"/>
        </w:rPr>
        <w:t>Физические лица-работодатели снимаются с регистрационного учета в срок, не превышающий трех рабочих дней со дня подачи страхователем заявления о снятии с учета в качестве страхователя.</w:t>
      </w:r>
    </w:p>
    <w:p w:rsidR="004A72B4" w:rsidRPr="004A72B4" w:rsidRDefault="004A72B4" w:rsidP="004A72B4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4A72B4">
        <w:rPr>
          <w:rFonts w:ascii="diaria_promedium" w:eastAsia="Times New Roman" w:hAnsi="diaria_promedium" w:cs="Arial"/>
          <w:b/>
          <w:bCs/>
          <w:color w:val="000000"/>
          <w:sz w:val="24"/>
          <w:lang w:eastAsia="ru-RU"/>
        </w:rPr>
        <w:lastRenderedPageBreak/>
        <w:t>Важно</w:t>
      </w:r>
      <w:r w:rsidRPr="004A72B4">
        <w:rPr>
          <w:rFonts w:ascii="diaria_promedium" w:eastAsia="Times New Roman" w:hAnsi="diaria_promedium" w:cs="Arabic Typesetting"/>
          <w:b/>
          <w:bCs/>
          <w:color w:val="000000"/>
          <w:sz w:val="24"/>
          <w:lang w:eastAsia="ru-RU"/>
        </w:rPr>
        <w:t>! </w:t>
      </w:r>
      <w:r w:rsidRPr="004A72B4">
        <w:rPr>
          <w:rFonts w:ascii="diaria_promedium" w:eastAsia="Times New Roman" w:hAnsi="diaria_promedium" w:cs="Arial"/>
          <w:b/>
          <w:bCs/>
          <w:color w:val="000000"/>
          <w:sz w:val="24"/>
          <w:lang w:eastAsia="ru-RU"/>
        </w:rPr>
        <w:t>Нарушение</w:t>
      </w:r>
      <w:r w:rsidRPr="004A72B4">
        <w:rPr>
          <w:rFonts w:ascii="diaria_promedium" w:eastAsia="Times New Roman" w:hAnsi="diaria_promedium" w:cs="Arabic Typesetting"/>
          <w:b/>
          <w:bCs/>
          <w:color w:val="000000"/>
          <w:sz w:val="24"/>
          <w:lang w:eastAsia="ru-RU"/>
        </w:rPr>
        <w:t> </w:t>
      </w:r>
      <w:r w:rsidRPr="004A72B4">
        <w:rPr>
          <w:rFonts w:ascii="diaria_promedium" w:eastAsia="Times New Roman" w:hAnsi="diaria_promedium" w:cs="Arial"/>
          <w:b/>
          <w:bCs/>
          <w:color w:val="000000"/>
          <w:sz w:val="24"/>
          <w:lang w:eastAsia="ru-RU"/>
        </w:rPr>
        <w:t>сроков</w:t>
      </w:r>
      <w:r w:rsidRPr="004A72B4">
        <w:rPr>
          <w:rFonts w:ascii="diaria_promedium" w:eastAsia="Times New Roman" w:hAnsi="diaria_promedium" w:cs="Arabic Typesetting"/>
          <w:b/>
          <w:bCs/>
          <w:color w:val="000000"/>
          <w:sz w:val="24"/>
          <w:lang w:eastAsia="ru-RU"/>
        </w:rPr>
        <w:t> </w:t>
      </w:r>
      <w:r w:rsidRPr="004A72B4">
        <w:rPr>
          <w:rFonts w:ascii="diaria_promedium" w:eastAsia="Times New Roman" w:hAnsi="diaria_promedium" w:cs="Arial"/>
          <w:b/>
          <w:bCs/>
          <w:color w:val="000000"/>
          <w:sz w:val="24"/>
          <w:lang w:eastAsia="ru-RU"/>
        </w:rPr>
        <w:t>регистрации</w:t>
      </w:r>
      <w:r w:rsidRPr="004A72B4">
        <w:rPr>
          <w:rFonts w:ascii="diaria_promedium" w:eastAsia="Times New Roman" w:hAnsi="diaria_promedium" w:cs="Arabic Typesetting"/>
          <w:b/>
          <w:bCs/>
          <w:color w:val="000000"/>
          <w:sz w:val="24"/>
          <w:lang w:eastAsia="ru-RU"/>
        </w:rPr>
        <w:t>!</w:t>
      </w:r>
    </w:p>
    <w:p w:rsidR="004A72B4" w:rsidRPr="004A72B4" w:rsidRDefault="004A72B4" w:rsidP="004A72B4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4A72B4">
        <w:rPr>
          <w:rFonts w:ascii="Cambria" w:eastAsia="Times New Roman" w:hAnsi="Cambria" w:cs="Arial"/>
          <w:color w:val="000000"/>
          <w:sz w:val="24"/>
          <w:szCs w:val="24"/>
          <w:lang w:eastAsia="ru-RU"/>
        </w:rPr>
        <w:t>За</w:t>
      </w:r>
      <w:r w:rsidRPr="004A72B4">
        <w:rPr>
          <w:rFonts w:ascii="Arabic Typesetting" w:eastAsia="Times New Roman" w:hAnsi="Arabic Typesetting" w:cs="Arabic Typesetting"/>
          <w:color w:val="000000"/>
          <w:sz w:val="24"/>
          <w:szCs w:val="24"/>
          <w:lang w:eastAsia="ru-RU"/>
        </w:rPr>
        <w:t> </w:t>
      </w:r>
      <w:r w:rsidRPr="004A72B4">
        <w:rPr>
          <w:rFonts w:ascii="Cambria" w:eastAsia="Times New Roman" w:hAnsi="Cambria" w:cs="Arial"/>
          <w:color w:val="000000"/>
          <w:sz w:val="24"/>
          <w:szCs w:val="24"/>
          <w:lang w:eastAsia="ru-RU"/>
        </w:rPr>
        <w:t>нарушение</w:t>
      </w:r>
      <w:r w:rsidRPr="004A72B4">
        <w:rPr>
          <w:rFonts w:ascii="Arabic Typesetting" w:eastAsia="Times New Roman" w:hAnsi="Arabic Typesetting" w:cs="Arabic Typesetting"/>
          <w:color w:val="000000"/>
          <w:sz w:val="24"/>
          <w:szCs w:val="24"/>
          <w:lang w:eastAsia="ru-RU"/>
        </w:rPr>
        <w:t> </w:t>
      </w:r>
      <w:r w:rsidRPr="004A72B4">
        <w:rPr>
          <w:rFonts w:ascii="Cambria" w:eastAsia="Times New Roman" w:hAnsi="Cambria" w:cs="Arial"/>
          <w:color w:val="000000"/>
          <w:sz w:val="24"/>
          <w:szCs w:val="24"/>
          <w:lang w:eastAsia="ru-RU"/>
        </w:rPr>
        <w:t>установленного</w:t>
      </w:r>
      <w:r w:rsidRPr="004A72B4">
        <w:rPr>
          <w:rFonts w:ascii="Arabic Typesetting" w:eastAsia="Times New Roman" w:hAnsi="Arabic Typesetting" w:cs="Arabic Typesetting"/>
          <w:color w:val="000000"/>
          <w:sz w:val="24"/>
          <w:szCs w:val="24"/>
          <w:lang w:eastAsia="ru-RU"/>
        </w:rPr>
        <w:t> </w:t>
      </w:r>
      <w:r w:rsidRPr="004A72B4">
        <w:rPr>
          <w:rFonts w:ascii="Cambria" w:eastAsia="Times New Roman" w:hAnsi="Cambria" w:cs="Arial"/>
          <w:color w:val="000000"/>
          <w:sz w:val="24"/>
          <w:szCs w:val="24"/>
          <w:lang w:eastAsia="ru-RU"/>
        </w:rPr>
        <w:t>срока</w:t>
      </w:r>
      <w:r w:rsidRPr="004A72B4">
        <w:rPr>
          <w:rFonts w:ascii="Arabic Typesetting" w:eastAsia="Times New Roman" w:hAnsi="Arabic Typesetting" w:cs="Arabic Typesetting"/>
          <w:color w:val="000000"/>
          <w:sz w:val="24"/>
          <w:szCs w:val="24"/>
          <w:lang w:eastAsia="ru-RU"/>
        </w:rPr>
        <w:t> </w:t>
      </w:r>
      <w:r w:rsidRPr="004A72B4">
        <w:rPr>
          <w:rFonts w:ascii="Cambria" w:eastAsia="Times New Roman" w:hAnsi="Cambria" w:cs="Arial"/>
          <w:color w:val="000000"/>
          <w:sz w:val="24"/>
          <w:szCs w:val="24"/>
          <w:lang w:eastAsia="ru-RU"/>
        </w:rPr>
        <w:t>регистрации</w:t>
      </w:r>
      <w:r w:rsidRPr="004A72B4">
        <w:rPr>
          <w:rFonts w:ascii="Arabic Typesetting" w:eastAsia="Times New Roman" w:hAnsi="Arabic Typesetting" w:cs="Arabic Typesetting"/>
          <w:color w:val="000000"/>
          <w:sz w:val="24"/>
          <w:szCs w:val="24"/>
          <w:lang w:eastAsia="ru-RU"/>
        </w:rPr>
        <w:t> </w:t>
      </w:r>
      <w:r w:rsidRPr="004A72B4">
        <w:rPr>
          <w:rFonts w:ascii="Cambria" w:eastAsia="Times New Roman" w:hAnsi="Cambria" w:cs="Arial"/>
          <w:color w:val="000000"/>
          <w:sz w:val="24"/>
          <w:szCs w:val="24"/>
          <w:lang w:eastAsia="ru-RU"/>
        </w:rPr>
        <w:t>в</w:t>
      </w:r>
      <w:r w:rsidRPr="004A72B4">
        <w:rPr>
          <w:rFonts w:ascii="Arabic Typesetting" w:eastAsia="Times New Roman" w:hAnsi="Arabic Typesetting" w:cs="Arabic Typesetting"/>
          <w:color w:val="000000"/>
          <w:sz w:val="24"/>
          <w:szCs w:val="24"/>
          <w:lang w:eastAsia="ru-RU"/>
        </w:rPr>
        <w:t> </w:t>
      </w:r>
      <w:r w:rsidRPr="004A72B4">
        <w:rPr>
          <w:rFonts w:ascii="Cambria" w:eastAsia="Times New Roman" w:hAnsi="Cambria" w:cs="Arial"/>
          <w:color w:val="000000"/>
          <w:sz w:val="24"/>
          <w:szCs w:val="24"/>
          <w:lang w:eastAsia="ru-RU"/>
        </w:rPr>
        <w:t>ПФР</w:t>
      </w:r>
      <w:r w:rsidRPr="004A72B4">
        <w:rPr>
          <w:rFonts w:ascii="Arabic Typesetting" w:eastAsia="Times New Roman" w:hAnsi="Arabic Typesetting" w:cs="Arabic Typesetting"/>
          <w:color w:val="000000"/>
          <w:sz w:val="24"/>
          <w:szCs w:val="24"/>
          <w:lang w:eastAsia="ru-RU"/>
        </w:rPr>
        <w:t> </w:t>
      </w:r>
      <w:r w:rsidRPr="004A72B4">
        <w:rPr>
          <w:rFonts w:ascii="Cambria" w:eastAsia="Times New Roman" w:hAnsi="Cambria" w:cs="Arial"/>
          <w:color w:val="000000"/>
          <w:sz w:val="24"/>
          <w:szCs w:val="24"/>
          <w:lang w:eastAsia="ru-RU"/>
        </w:rPr>
        <w:t>к</w:t>
      </w:r>
      <w:r w:rsidRPr="004A72B4">
        <w:rPr>
          <w:rFonts w:ascii="Arabic Typesetting" w:eastAsia="Times New Roman" w:hAnsi="Arabic Typesetting" w:cs="Arabic Typesetting"/>
          <w:color w:val="000000"/>
          <w:sz w:val="24"/>
          <w:szCs w:val="24"/>
          <w:lang w:eastAsia="ru-RU"/>
        </w:rPr>
        <w:t> </w:t>
      </w:r>
      <w:r w:rsidRPr="004A72B4">
        <w:rPr>
          <w:rFonts w:ascii="Cambria" w:eastAsia="Times New Roman" w:hAnsi="Cambria" w:cs="Arial"/>
          <w:color w:val="000000"/>
          <w:sz w:val="24"/>
          <w:szCs w:val="24"/>
          <w:lang w:eastAsia="ru-RU"/>
        </w:rPr>
        <w:t>страхователям</w:t>
      </w:r>
      <w:r w:rsidRPr="004A72B4">
        <w:rPr>
          <w:rFonts w:ascii="Arabic Typesetting" w:eastAsia="Times New Roman" w:hAnsi="Arabic Typesetting" w:cs="Arabic Typesetting"/>
          <w:color w:val="000000"/>
          <w:sz w:val="24"/>
          <w:szCs w:val="24"/>
          <w:lang w:eastAsia="ru-RU"/>
        </w:rPr>
        <w:t>, </w:t>
      </w:r>
      <w:r w:rsidRPr="004A72B4">
        <w:rPr>
          <w:rFonts w:ascii="Cambria" w:eastAsia="Times New Roman" w:hAnsi="Cambria" w:cs="Arial"/>
          <w:color w:val="000000"/>
          <w:sz w:val="24"/>
          <w:szCs w:val="24"/>
          <w:lang w:eastAsia="ru-RU"/>
        </w:rPr>
        <w:t>применяются</w:t>
      </w:r>
      <w:r w:rsidRPr="004A72B4">
        <w:rPr>
          <w:rFonts w:ascii="Arabic Typesetting" w:eastAsia="Times New Roman" w:hAnsi="Arabic Typesetting" w:cs="Arabic Typesetting"/>
          <w:color w:val="000000"/>
          <w:sz w:val="24"/>
          <w:szCs w:val="24"/>
          <w:lang w:eastAsia="ru-RU"/>
        </w:rPr>
        <w:t> </w:t>
      </w:r>
      <w:r w:rsidRPr="004A72B4">
        <w:rPr>
          <w:rFonts w:ascii="Cambria" w:eastAsia="Times New Roman" w:hAnsi="Cambria" w:cs="Arial"/>
          <w:color w:val="000000"/>
          <w:sz w:val="24"/>
          <w:szCs w:val="24"/>
          <w:lang w:eastAsia="ru-RU"/>
        </w:rPr>
        <w:t>штрафные</w:t>
      </w:r>
      <w:r w:rsidRPr="004A72B4">
        <w:rPr>
          <w:rFonts w:ascii="Arabic Typesetting" w:eastAsia="Times New Roman" w:hAnsi="Arabic Typesetting" w:cs="Arabic Typesetting"/>
          <w:color w:val="000000"/>
          <w:sz w:val="24"/>
          <w:szCs w:val="24"/>
          <w:lang w:eastAsia="ru-RU"/>
        </w:rPr>
        <w:t> </w:t>
      </w:r>
      <w:r w:rsidRPr="004A72B4">
        <w:rPr>
          <w:rFonts w:ascii="Cambria" w:eastAsia="Times New Roman" w:hAnsi="Cambria" w:cs="Arial"/>
          <w:color w:val="000000"/>
          <w:sz w:val="24"/>
          <w:szCs w:val="24"/>
          <w:lang w:eastAsia="ru-RU"/>
        </w:rPr>
        <w:t>санкции</w:t>
      </w:r>
      <w:r w:rsidRPr="004A72B4">
        <w:rPr>
          <w:rFonts w:ascii="Arabic Typesetting" w:eastAsia="Times New Roman" w:hAnsi="Arabic Typesetting" w:cs="Arabic Typesetting"/>
          <w:color w:val="000000"/>
          <w:sz w:val="24"/>
          <w:szCs w:val="24"/>
          <w:lang w:eastAsia="ru-RU"/>
        </w:rPr>
        <w:t> </w:t>
      </w:r>
      <w:r w:rsidRPr="004A72B4">
        <w:rPr>
          <w:rFonts w:ascii="Cambria" w:eastAsia="Times New Roman" w:hAnsi="Cambria" w:cs="Arial"/>
          <w:color w:val="000000"/>
          <w:sz w:val="24"/>
          <w:szCs w:val="24"/>
          <w:lang w:eastAsia="ru-RU"/>
        </w:rPr>
        <w:t>в</w:t>
      </w:r>
      <w:r w:rsidRPr="004A72B4">
        <w:rPr>
          <w:rFonts w:ascii="Arabic Typesetting" w:eastAsia="Times New Roman" w:hAnsi="Arabic Typesetting" w:cs="Arabic Typesetting"/>
          <w:color w:val="000000"/>
          <w:sz w:val="24"/>
          <w:szCs w:val="24"/>
          <w:lang w:eastAsia="ru-RU"/>
        </w:rPr>
        <w:t> </w:t>
      </w:r>
      <w:r w:rsidRPr="004A72B4">
        <w:rPr>
          <w:rFonts w:ascii="Cambria" w:eastAsia="Times New Roman" w:hAnsi="Cambria" w:cs="Arial"/>
          <w:color w:val="000000"/>
          <w:sz w:val="24"/>
          <w:szCs w:val="24"/>
          <w:lang w:eastAsia="ru-RU"/>
        </w:rPr>
        <w:t>размере</w:t>
      </w:r>
      <w:r w:rsidRPr="004A72B4">
        <w:rPr>
          <w:rFonts w:ascii="diaria_promedium" w:eastAsia="Times New Roman" w:hAnsi="diaria_promedium" w:cs="Arial"/>
          <w:color w:val="000000"/>
          <w:sz w:val="24"/>
          <w:szCs w:val="24"/>
          <w:lang w:eastAsia="ru-RU"/>
        </w:rPr>
        <w:t>5000</w:t>
      </w:r>
      <w:r w:rsidRPr="004A72B4">
        <w:rPr>
          <w:rFonts w:ascii="Arabic Typesetting" w:eastAsia="Times New Roman" w:hAnsi="Arabic Typesetting" w:cs="Arabic Typesetting"/>
          <w:color w:val="000000"/>
          <w:sz w:val="24"/>
          <w:szCs w:val="24"/>
          <w:lang w:eastAsia="ru-RU"/>
        </w:rPr>
        <w:t> </w:t>
      </w:r>
      <w:r w:rsidRPr="004A72B4">
        <w:rPr>
          <w:rFonts w:ascii="Cambria" w:eastAsia="Times New Roman" w:hAnsi="Cambria" w:cs="Arial"/>
          <w:color w:val="000000"/>
          <w:sz w:val="24"/>
          <w:szCs w:val="24"/>
          <w:lang w:eastAsia="ru-RU"/>
        </w:rPr>
        <w:t>рублей</w:t>
      </w:r>
      <w:r w:rsidRPr="004A72B4">
        <w:rPr>
          <w:rFonts w:ascii="Arabic Typesetting" w:eastAsia="Times New Roman" w:hAnsi="Arabic Typesetting" w:cs="Arabic Typesetting"/>
          <w:color w:val="000000"/>
          <w:sz w:val="24"/>
          <w:szCs w:val="24"/>
          <w:lang w:eastAsia="ru-RU"/>
        </w:rPr>
        <w:t>, </w:t>
      </w:r>
      <w:r w:rsidRPr="004A72B4">
        <w:rPr>
          <w:rFonts w:ascii="Cambria" w:eastAsia="Times New Roman" w:hAnsi="Cambria" w:cs="Arial"/>
          <w:color w:val="000000"/>
          <w:sz w:val="24"/>
          <w:szCs w:val="24"/>
          <w:lang w:eastAsia="ru-RU"/>
        </w:rPr>
        <w:t>а</w:t>
      </w:r>
      <w:r w:rsidRPr="004A72B4">
        <w:rPr>
          <w:rFonts w:ascii="Arabic Typesetting" w:eastAsia="Times New Roman" w:hAnsi="Arabic Typesetting" w:cs="Arabic Typesetting"/>
          <w:color w:val="000000"/>
          <w:sz w:val="24"/>
          <w:szCs w:val="24"/>
          <w:lang w:eastAsia="ru-RU"/>
        </w:rPr>
        <w:t> </w:t>
      </w:r>
      <w:r w:rsidRPr="004A72B4">
        <w:rPr>
          <w:rFonts w:ascii="Cambria" w:eastAsia="Times New Roman" w:hAnsi="Cambria" w:cs="Arial"/>
          <w:color w:val="000000"/>
          <w:sz w:val="24"/>
          <w:szCs w:val="24"/>
          <w:lang w:eastAsia="ru-RU"/>
        </w:rPr>
        <w:t>за</w:t>
      </w:r>
      <w:r w:rsidRPr="004A72B4">
        <w:rPr>
          <w:rFonts w:ascii="Arabic Typesetting" w:eastAsia="Times New Roman" w:hAnsi="Arabic Typesetting" w:cs="Arabic Typesetting"/>
          <w:color w:val="000000"/>
          <w:sz w:val="24"/>
          <w:szCs w:val="24"/>
          <w:lang w:eastAsia="ru-RU"/>
        </w:rPr>
        <w:t> </w:t>
      </w:r>
      <w:r w:rsidRPr="004A72B4">
        <w:rPr>
          <w:rFonts w:ascii="Cambria" w:eastAsia="Times New Roman" w:hAnsi="Cambria" w:cs="Arial"/>
          <w:color w:val="000000"/>
          <w:sz w:val="24"/>
          <w:szCs w:val="24"/>
          <w:lang w:eastAsia="ru-RU"/>
        </w:rPr>
        <w:t>нарушение</w:t>
      </w:r>
      <w:r w:rsidRPr="004A72B4">
        <w:rPr>
          <w:rFonts w:ascii="Arabic Typesetting" w:eastAsia="Times New Roman" w:hAnsi="Arabic Typesetting" w:cs="Arabic Typesetting"/>
          <w:color w:val="000000"/>
          <w:sz w:val="24"/>
          <w:szCs w:val="24"/>
          <w:lang w:eastAsia="ru-RU"/>
        </w:rPr>
        <w:t> </w:t>
      </w:r>
      <w:r w:rsidRPr="004A72B4">
        <w:rPr>
          <w:rFonts w:ascii="Cambria" w:eastAsia="Times New Roman" w:hAnsi="Cambria" w:cs="Arial"/>
          <w:color w:val="000000"/>
          <w:sz w:val="24"/>
          <w:szCs w:val="24"/>
          <w:lang w:eastAsia="ru-RU"/>
        </w:rPr>
        <w:t>указанного</w:t>
      </w:r>
      <w:r w:rsidRPr="004A72B4">
        <w:rPr>
          <w:rFonts w:ascii="Arabic Typesetting" w:eastAsia="Times New Roman" w:hAnsi="Arabic Typesetting" w:cs="Arabic Typesetting"/>
          <w:color w:val="000000"/>
          <w:sz w:val="24"/>
          <w:szCs w:val="24"/>
          <w:lang w:eastAsia="ru-RU"/>
        </w:rPr>
        <w:t> </w:t>
      </w:r>
      <w:r w:rsidRPr="004A72B4">
        <w:rPr>
          <w:rFonts w:ascii="Cambria" w:eastAsia="Times New Roman" w:hAnsi="Cambria" w:cs="Arial"/>
          <w:color w:val="000000"/>
          <w:sz w:val="24"/>
          <w:szCs w:val="24"/>
          <w:lang w:eastAsia="ru-RU"/>
        </w:rPr>
        <w:t>срока</w:t>
      </w:r>
      <w:r w:rsidRPr="004A72B4">
        <w:rPr>
          <w:rFonts w:ascii="Arabic Typesetting" w:eastAsia="Times New Roman" w:hAnsi="Arabic Typesetting" w:cs="Arabic Typesetting"/>
          <w:color w:val="000000"/>
          <w:sz w:val="24"/>
          <w:szCs w:val="24"/>
          <w:lang w:eastAsia="ru-RU"/>
        </w:rPr>
        <w:t> </w:t>
      </w:r>
      <w:r w:rsidRPr="004A72B4">
        <w:rPr>
          <w:rFonts w:ascii="Cambria" w:eastAsia="Times New Roman" w:hAnsi="Cambria" w:cs="Arial"/>
          <w:color w:val="000000"/>
          <w:sz w:val="24"/>
          <w:szCs w:val="24"/>
          <w:lang w:eastAsia="ru-RU"/>
        </w:rPr>
        <w:t>регистрации</w:t>
      </w:r>
      <w:r w:rsidRPr="004A72B4">
        <w:rPr>
          <w:rFonts w:ascii="Arabic Typesetting" w:eastAsia="Times New Roman" w:hAnsi="Arabic Typesetting" w:cs="Arabic Typesetting"/>
          <w:color w:val="000000"/>
          <w:sz w:val="24"/>
          <w:szCs w:val="24"/>
          <w:lang w:eastAsia="ru-RU"/>
        </w:rPr>
        <w:t> </w:t>
      </w:r>
      <w:r w:rsidRPr="004A72B4">
        <w:rPr>
          <w:rFonts w:ascii="Cambria" w:eastAsia="Times New Roman" w:hAnsi="Cambria" w:cs="Arial"/>
          <w:color w:val="000000"/>
          <w:sz w:val="24"/>
          <w:szCs w:val="24"/>
          <w:lang w:eastAsia="ru-RU"/>
        </w:rPr>
        <w:t>более</w:t>
      </w:r>
      <w:r w:rsidRPr="004A72B4">
        <w:rPr>
          <w:rFonts w:ascii="Arabic Typesetting" w:eastAsia="Times New Roman" w:hAnsi="Arabic Typesetting" w:cs="Arabic Typesetting"/>
          <w:color w:val="000000"/>
          <w:sz w:val="24"/>
          <w:szCs w:val="24"/>
          <w:lang w:eastAsia="ru-RU"/>
        </w:rPr>
        <w:t> </w:t>
      </w:r>
      <w:r w:rsidRPr="004A72B4">
        <w:rPr>
          <w:rFonts w:ascii="Cambria" w:eastAsia="Times New Roman" w:hAnsi="Cambria" w:cs="Arial"/>
          <w:color w:val="000000"/>
          <w:sz w:val="24"/>
          <w:szCs w:val="24"/>
          <w:lang w:eastAsia="ru-RU"/>
        </w:rPr>
        <w:t>чем</w:t>
      </w:r>
      <w:r w:rsidRPr="004A72B4">
        <w:rPr>
          <w:rFonts w:ascii="Arabic Typesetting" w:eastAsia="Times New Roman" w:hAnsi="Arabic Typesetting" w:cs="Arabic Typesetting"/>
          <w:color w:val="000000"/>
          <w:sz w:val="24"/>
          <w:szCs w:val="24"/>
          <w:lang w:eastAsia="ru-RU"/>
        </w:rPr>
        <w:t> </w:t>
      </w:r>
      <w:r w:rsidRPr="004A72B4">
        <w:rPr>
          <w:rFonts w:ascii="Cambria" w:eastAsia="Times New Roman" w:hAnsi="Cambria" w:cs="Arial"/>
          <w:color w:val="000000"/>
          <w:sz w:val="24"/>
          <w:szCs w:val="24"/>
          <w:lang w:eastAsia="ru-RU"/>
        </w:rPr>
        <w:t>на</w:t>
      </w:r>
      <w:r w:rsidRPr="004A72B4">
        <w:rPr>
          <w:rFonts w:ascii="Arabic Typesetting" w:eastAsia="Times New Roman" w:hAnsi="Arabic Typesetting" w:cs="Arabic Typesetting"/>
          <w:color w:val="000000"/>
          <w:sz w:val="24"/>
          <w:szCs w:val="24"/>
          <w:lang w:eastAsia="ru-RU"/>
        </w:rPr>
        <w:t> </w:t>
      </w:r>
      <w:r w:rsidRPr="004A7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90 </w:t>
      </w:r>
      <w:r w:rsidRPr="004A72B4">
        <w:rPr>
          <w:rFonts w:ascii="Cambria" w:eastAsia="Times New Roman" w:hAnsi="Cambria" w:cs="Arial"/>
          <w:color w:val="000000"/>
          <w:sz w:val="24"/>
          <w:szCs w:val="24"/>
          <w:lang w:eastAsia="ru-RU"/>
        </w:rPr>
        <w:t>дней</w:t>
      </w:r>
      <w:r w:rsidRPr="004A72B4">
        <w:rPr>
          <w:rFonts w:ascii="Arabic Typesetting" w:eastAsia="Times New Roman" w:hAnsi="Arabic Typesetting" w:cs="Arabic Typesetting"/>
          <w:color w:val="000000"/>
          <w:sz w:val="24"/>
          <w:szCs w:val="24"/>
          <w:lang w:eastAsia="ru-RU"/>
        </w:rPr>
        <w:t> – </w:t>
      </w:r>
      <w:r w:rsidRPr="004A72B4">
        <w:rPr>
          <w:rFonts w:ascii="Cambria" w:eastAsia="Times New Roman" w:hAnsi="Cambria" w:cs="Arial"/>
          <w:color w:val="000000"/>
          <w:sz w:val="24"/>
          <w:szCs w:val="24"/>
          <w:lang w:eastAsia="ru-RU"/>
        </w:rPr>
        <w:t>в</w:t>
      </w:r>
      <w:r w:rsidRPr="004A72B4">
        <w:rPr>
          <w:rFonts w:ascii="Arabic Typesetting" w:eastAsia="Times New Roman" w:hAnsi="Arabic Typesetting" w:cs="Arabic Typesetting"/>
          <w:color w:val="000000"/>
          <w:sz w:val="24"/>
          <w:szCs w:val="24"/>
          <w:lang w:eastAsia="ru-RU"/>
        </w:rPr>
        <w:t> </w:t>
      </w:r>
      <w:r w:rsidRPr="004A72B4">
        <w:rPr>
          <w:rFonts w:ascii="Cambria" w:eastAsia="Times New Roman" w:hAnsi="Cambria" w:cs="Arial"/>
          <w:color w:val="000000"/>
          <w:sz w:val="24"/>
          <w:szCs w:val="24"/>
          <w:lang w:eastAsia="ru-RU"/>
        </w:rPr>
        <w:t>размере</w:t>
      </w:r>
      <w:r w:rsidRPr="004A72B4">
        <w:rPr>
          <w:rFonts w:ascii="Arabic Typesetting" w:eastAsia="Times New Roman" w:hAnsi="Arabic Typesetting" w:cs="Arabic Typesetting"/>
          <w:color w:val="000000"/>
          <w:sz w:val="24"/>
          <w:szCs w:val="24"/>
          <w:lang w:eastAsia="ru-RU"/>
        </w:rPr>
        <w:t> </w:t>
      </w:r>
      <w:r w:rsidRPr="004A72B4">
        <w:rPr>
          <w:rFonts w:ascii="diaria_promedium" w:eastAsia="Times New Roman" w:hAnsi="diaria_promedium" w:cs="Arial"/>
          <w:color w:val="000000"/>
          <w:sz w:val="24"/>
          <w:szCs w:val="24"/>
          <w:lang w:eastAsia="ru-RU"/>
        </w:rPr>
        <w:t>10 000</w:t>
      </w:r>
      <w:r w:rsidRPr="004A72B4">
        <w:rPr>
          <w:rFonts w:ascii="Arabic Typesetting" w:eastAsia="Times New Roman" w:hAnsi="Arabic Typesetting" w:cs="Arabic Typesetting"/>
          <w:color w:val="000000"/>
          <w:sz w:val="24"/>
          <w:szCs w:val="24"/>
          <w:lang w:eastAsia="ru-RU"/>
        </w:rPr>
        <w:t> </w:t>
      </w:r>
      <w:r w:rsidRPr="004A72B4">
        <w:rPr>
          <w:rFonts w:ascii="Cambria" w:eastAsia="Times New Roman" w:hAnsi="Cambria" w:cs="Arial"/>
          <w:color w:val="000000"/>
          <w:sz w:val="24"/>
          <w:szCs w:val="24"/>
          <w:lang w:eastAsia="ru-RU"/>
        </w:rPr>
        <w:t>рублей</w:t>
      </w:r>
      <w:r w:rsidRPr="004A72B4">
        <w:rPr>
          <w:rFonts w:ascii="Arabic Typesetting" w:eastAsia="Times New Roman" w:hAnsi="Arabic Typesetting" w:cs="Arabic Typesetting"/>
          <w:color w:val="000000"/>
          <w:sz w:val="24"/>
          <w:szCs w:val="24"/>
          <w:lang w:eastAsia="ru-RU"/>
        </w:rPr>
        <w:t>.</w:t>
      </w:r>
    </w:p>
    <w:p w:rsidR="004A72B4" w:rsidRPr="004A72B4" w:rsidRDefault="004A72B4" w:rsidP="004A72B4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4A72B4">
        <w:rPr>
          <w:rFonts w:ascii="diaria_promedium" w:eastAsia="Times New Roman" w:hAnsi="diaria_promedium" w:cs="Times New Roman"/>
          <w:b/>
          <w:bCs/>
          <w:color w:val="4DA6E8"/>
          <w:sz w:val="24"/>
          <w:lang w:eastAsia="ru-RU"/>
        </w:rPr>
        <w:t>Индивидуальные предприниматели, в том числе главы крестьянских (фермерских) хозяйств</w:t>
      </w:r>
    </w:p>
    <w:p w:rsidR="004A72B4" w:rsidRPr="004A72B4" w:rsidRDefault="004A72B4" w:rsidP="004A72B4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proofErr w:type="gramStart"/>
      <w:r w:rsidRPr="004A7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Регистрация и снятие с регистрационного учета физических лиц, зарегистрированных в качестве индивидуальных предпринимателей или глав крестьянских (фермерских) хозяйств и самостоятельно уплачивающих страховые взносы в ПФР, осуществляется в </w:t>
      </w:r>
      <w:proofErr w:type="spellStart"/>
      <w:r w:rsidRPr="004A7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беззаявительном</w:t>
      </w:r>
      <w:proofErr w:type="spellEnd"/>
      <w:r w:rsidRPr="004A7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порядке в срок, не превышающий трех рабочих дней со дня поступления в территориальные органы Пенсионного фонда Российской Федерации сведений из Федеральной налоговой службы.</w:t>
      </w:r>
      <w:proofErr w:type="gramEnd"/>
    </w:p>
    <w:p w:rsidR="004A72B4" w:rsidRPr="004A72B4" w:rsidRDefault="004A72B4" w:rsidP="004A72B4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4A7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Документ, подтверждающий факт регистрации, может быть направлен страхователю по почте, в форме электронного документа, подписанного квалифицированной электронной подписью, а также по адресу электронной почты, содержащемуся в составе сведений ЕГРИП. Уведомление о регистрации и снятии с регистрационного учета в Пенсионном фонде Российской Федерации с регистрационным номером на бумажном носителе плательщик вправе получить добровольно по запросу в срок не превышающей трех рабочих дней со дня соответствующего запроса.</w:t>
      </w:r>
    </w:p>
    <w:p w:rsidR="004A72B4" w:rsidRPr="004A72B4" w:rsidRDefault="004A72B4" w:rsidP="004A72B4">
      <w:pPr>
        <w:spacing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4A7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Постановка на регистрационный учет и снятие с регистрационного учета не требует обращения плательщика в Пенсионный фонд Российской Федерации.</w:t>
      </w:r>
    </w:p>
    <w:p w:rsidR="0091596E" w:rsidRDefault="004A72B4"/>
    <w:sectPr w:rsidR="0091596E" w:rsidSect="00EA6A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213CE"/>
    <w:multiLevelType w:val="multilevel"/>
    <w:tmpl w:val="16481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72B4"/>
    <w:rsid w:val="0022663A"/>
    <w:rsid w:val="004A72B4"/>
    <w:rsid w:val="00B15088"/>
    <w:rsid w:val="00EA6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A96"/>
  </w:style>
  <w:style w:type="paragraph" w:styleId="1">
    <w:name w:val="heading 1"/>
    <w:basedOn w:val="a"/>
    <w:link w:val="10"/>
    <w:uiPriority w:val="9"/>
    <w:qFormat/>
    <w:rsid w:val="004A72B4"/>
    <w:pPr>
      <w:spacing w:after="450" w:line="810" w:lineRule="atLeast"/>
      <w:outlineLvl w:val="0"/>
    </w:pPr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72B4"/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styleId="a3">
    <w:name w:val="Strong"/>
    <w:basedOn w:val="a0"/>
    <w:uiPriority w:val="22"/>
    <w:qFormat/>
    <w:rsid w:val="004A72B4"/>
    <w:rPr>
      <w:rFonts w:ascii="diaria_promedium" w:hAnsi="diaria_promedium" w:hint="default"/>
      <w:b/>
      <w:bCs/>
      <w:sz w:val="24"/>
      <w:szCs w:val="24"/>
    </w:rPr>
  </w:style>
  <w:style w:type="character" w:styleId="a4">
    <w:name w:val="Emphasis"/>
    <w:basedOn w:val="a0"/>
    <w:uiPriority w:val="20"/>
    <w:qFormat/>
    <w:rsid w:val="004A72B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5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59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07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402861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754792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5142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lck.yandex.ru/redir/dv/*data=url%3Dhttp%253A%252F%252Fwww.pfrf.ru%252Fknopki%252Fzhizn~742%26ts%3D1462370423%26uid%3D6212059301455001874&amp;sign=a6867e15f3efac55d83b8f373e9e3ea9&amp;keyno=1" TargetMode="External"/><Relationship Id="rId5" Type="http://schemas.openxmlformats.org/officeDocument/2006/relationships/hyperlink" Target="http://clck.yandex.ru/redir/dv/*data=url%3Dhttp%253A%252F%252Fwww.pfrf.ru%252Fknopki%252Fzhizn~742%26ts%3D1462370423%26uid%3D6212059301455001874&amp;sign=a6867e15f3efac55d83b8f373e9e3ea9&amp;keyno=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743</Words>
  <Characters>4239</Characters>
  <Application>Microsoft Office Word</Application>
  <DocSecurity>0</DocSecurity>
  <Lines>35</Lines>
  <Paragraphs>9</Paragraphs>
  <ScaleCrop>false</ScaleCrop>
  <Company/>
  <LinksUpToDate>false</LinksUpToDate>
  <CharactersWithSpaces>4973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2016-06-12T09:59:00Z</dcterms:created>
  <dcterms:modified xsi:type="dcterms:W3CDTF">2016-06-12T09:59:00Z</dcterms:modified>
</cp:coreProperties>
</file>