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819EB" w:rsidRPr="004819EB" w:rsidRDefault="004819EB" w:rsidP="004819EB">
      <w:pPr>
        <w:spacing w:beforeAutospacing="1" w:after="100" w:afterAutospacing="1" w:line="300" w:lineRule="atLeast"/>
        <w:outlineLvl w:val="0"/>
        <w:rPr>
          <w:rFonts w:ascii="Arial" w:eastAsia="Times New Roman" w:hAnsi="Arial" w:cs="Arial"/>
          <w:b/>
          <w:bCs/>
          <w:kern w:val="36"/>
          <w:sz w:val="48"/>
          <w:szCs w:val="48"/>
          <w:lang w:eastAsia="ru-RU"/>
        </w:rPr>
      </w:pPr>
      <w:r w:rsidRPr="004819EB">
        <w:rPr>
          <w:rFonts w:ascii="Arial" w:eastAsia="Times New Roman" w:hAnsi="Arial" w:cs="Arial"/>
          <w:b/>
          <w:bCs/>
          <w:kern w:val="36"/>
          <w:sz w:val="48"/>
          <w:szCs w:val="48"/>
          <w:lang w:eastAsia="ru-RU"/>
        </w:rPr>
        <w:t>Накопительная пенсия: как правильно менять страховщика</w:t>
      </w:r>
    </w:p>
    <w:p w:rsidR="004819EB" w:rsidRPr="004819EB" w:rsidRDefault="004819EB" w:rsidP="004819EB">
      <w:pPr>
        <w:spacing w:before="100" w:beforeAutospacing="1" w:after="100" w:afterAutospacing="1" w:line="300" w:lineRule="atLeast"/>
        <w:outlineLvl w:val="2"/>
        <w:rPr>
          <w:rFonts w:ascii="Arial" w:eastAsia="Times New Roman" w:hAnsi="Arial" w:cs="Arial"/>
          <w:b/>
          <w:bCs/>
          <w:sz w:val="27"/>
          <w:szCs w:val="27"/>
          <w:lang w:eastAsia="ru-RU"/>
        </w:rPr>
      </w:pPr>
      <w:r>
        <w:rPr>
          <w:rFonts w:ascii="Arial" w:eastAsia="Times New Roman" w:hAnsi="Arial" w:cs="Arial"/>
          <w:b/>
          <w:bCs/>
          <w:sz w:val="27"/>
          <w:szCs w:val="27"/>
          <w:lang w:val="en-US" w:eastAsia="ru-RU"/>
        </w:rPr>
        <w:t>1</w:t>
      </w:r>
      <w:r w:rsidRPr="004819EB">
        <w:rPr>
          <w:rFonts w:ascii="Arial" w:eastAsia="Times New Roman" w:hAnsi="Arial" w:cs="Arial"/>
          <w:b/>
          <w:bCs/>
          <w:sz w:val="27"/>
          <w:szCs w:val="27"/>
          <w:lang w:eastAsia="ru-RU"/>
        </w:rPr>
        <w:t>6 июня 2016</w:t>
      </w:r>
    </w:p>
    <w:p w:rsidR="004819EB" w:rsidRPr="004819EB" w:rsidRDefault="004819EB" w:rsidP="004819EB">
      <w:pPr>
        <w:spacing w:before="100" w:beforeAutospacing="1" w:after="100" w:afterAutospacing="1" w:line="300" w:lineRule="atLeast"/>
        <w:jc w:val="both"/>
        <w:rPr>
          <w:rFonts w:ascii="Arial" w:eastAsia="Times New Roman" w:hAnsi="Arial" w:cs="Arial"/>
          <w:lang w:eastAsia="ru-RU"/>
        </w:rPr>
      </w:pPr>
      <w:r w:rsidRPr="004819EB">
        <w:rPr>
          <w:rFonts w:ascii="Arial" w:eastAsia="Times New Roman" w:hAnsi="Arial" w:cs="Arial"/>
          <w:lang w:eastAsia="ru-RU"/>
        </w:rPr>
        <w:t xml:space="preserve">Застрахованные лица, сделавшие выбор в пользу формирования накопительной части пенсии (6%), доверяют инвестирование своих средств управляющей компании (текущему страховщику). Результаты инвестиционного размещения средств текущим страховщиком могут быть как положительные, так и отрицательные. </w:t>
      </w:r>
      <w:proofErr w:type="gramStart"/>
      <w:r w:rsidRPr="004819EB">
        <w:rPr>
          <w:rFonts w:ascii="Arial" w:eastAsia="Times New Roman" w:hAnsi="Arial" w:cs="Arial"/>
          <w:lang w:eastAsia="ru-RU"/>
        </w:rPr>
        <w:t>В соответствии со статьями 36.7, 36.8 и 36.11 Федерального закона от 7 мая 1998 года № 75-ФЗ «О негосударственных пенсионных фондах» застрахованное лицо до обращения за установлением накопительной пенсии, срочной пенсионной выплаты, единовременной выплаты средств пенсионных накоплений может воспользоваться правом на переход из негосударственного пенсионного фонда в Пенсионный фонд Российской Федерации, из негосударственного пенсионного фонда в другой негосударственный пенсионный фонд либо</w:t>
      </w:r>
      <w:proofErr w:type="gramEnd"/>
      <w:r w:rsidRPr="004819EB">
        <w:rPr>
          <w:rFonts w:ascii="Arial" w:eastAsia="Times New Roman" w:hAnsi="Arial" w:cs="Arial"/>
          <w:lang w:eastAsia="ru-RU"/>
        </w:rPr>
        <w:t xml:space="preserve"> из Пенсионного фонда Российской Федерации в негосударственный пенсионный фонд. Делать это можно не чаще одного раза в год, подав заявление о переходе либо </w:t>
      </w:r>
      <w:proofErr w:type="gramStart"/>
      <w:r w:rsidRPr="004819EB">
        <w:rPr>
          <w:rFonts w:ascii="Arial" w:eastAsia="Times New Roman" w:hAnsi="Arial" w:cs="Arial"/>
          <w:lang w:eastAsia="ru-RU"/>
        </w:rPr>
        <w:t>заявление</w:t>
      </w:r>
      <w:proofErr w:type="gramEnd"/>
      <w:r w:rsidRPr="004819EB">
        <w:rPr>
          <w:rFonts w:ascii="Arial" w:eastAsia="Times New Roman" w:hAnsi="Arial" w:cs="Arial"/>
          <w:lang w:eastAsia="ru-RU"/>
        </w:rPr>
        <w:t xml:space="preserve"> о досрочном переходе.</w:t>
      </w:r>
    </w:p>
    <w:p w:rsidR="004819EB" w:rsidRPr="004819EB" w:rsidRDefault="004819EB" w:rsidP="004819EB">
      <w:pPr>
        <w:spacing w:before="100" w:beforeAutospacing="1" w:after="100" w:afterAutospacing="1" w:line="300" w:lineRule="atLeast"/>
        <w:jc w:val="both"/>
        <w:rPr>
          <w:rFonts w:ascii="Arial" w:eastAsia="Times New Roman" w:hAnsi="Arial" w:cs="Arial"/>
          <w:lang w:eastAsia="ru-RU"/>
        </w:rPr>
      </w:pPr>
      <w:r w:rsidRPr="004819EB">
        <w:rPr>
          <w:rFonts w:ascii="Arial" w:eastAsia="Times New Roman" w:hAnsi="Arial" w:cs="Arial"/>
          <w:lang w:eastAsia="ru-RU"/>
        </w:rPr>
        <w:t>На основании заявления о переходе переход застрахованного лица осуществляется в году, следующем за годом, в котором истекает пятилетний срок, исчисляющийся, начиная с года подачи такого заявления.</w:t>
      </w:r>
    </w:p>
    <w:p w:rsidR="004819EB" w:rsidRPr="004819EB" w:rsidRDefault="004819EB" w:rsidP="004819EB">
      <w:pPr>
        <w:spacing w:before="100" w:beforeAutospacing="1" w:after="100" w:afterAutospacing="1" w:line="300" w:lineRule="atLeast"/>
        <w:jc w:val="both"/>
        <w:rPr>
          <w:rFonts w:ascii="Arial" w:eastAsia="Times New Roman" w:hAnsi="Arial" w:cs="Arial"/>
          <w:lang w:eastAsia="ru-RU"/>
        </w:rPr>
      </w:pPr>
      <w:r w:rsidRPr="004819EB">
        <w:rPr>
          <w:rFonts w:ascii="Arial" w:eastAsia="Times New Roman" w:hAnsi="Arial" w:cs="Arial"/>
          <w:lang w:eastAsia="ru-RU"/>
        </w:rPr>
        <w:t>На основании заявления о досрочном переходе переход застрахованного лица осуществляется в году, следующем за годом подачи такого заявления.</w:t>
      </w:r>
    </w:p>
    <w:p w:rsidR="004819EB" w:rsidRPr="004819EB" w:rsidRDefault="004819EB" w:rsidP="004819EB">
      <w:pPr>
        <w:spacing w:before="100" w:beforeAutospacing="1" w:after="100" w:afterAutospacing="1" w:line="300" w:lineRule="atLeast"/>
        <w:jc w:val="both"/>
        <w:rPr>
          <w:rFonts w:ascii="Arial" w:eastAsia="Times New Roman" w:hAnsi="Arial" w:cs="Arial"/>
          <w:lang w:eastAsia="ru-RU"/>
        </w:rPr>
      </w:pPr>
      <w:r w:rsidRPr="004819EB">
        <w:rPr>
          <w:rFonts w:ascii="Arial" w:eastAsia="Times New Roman" w:hAnsi="Arial" w:cs="Arial"/>
          <w:lang w:eastAsia="ru-RU"/>
        </w:rPr>
        <w:t>Отличие заявления о переходе от заявления о досрочном переходе заключается не только в различных сроках рассмотрения таких заявлений, сроках фактического перехода к новому страховщику и сроках перевода средств пенсионных накоплений, но и в различном порядке расчета средств пенсионных накоплений, подлежащих передаче при таких переходах.</w:t>
      </w:r>
    </w:p>
    <w:p w:rsidR="004819EB" w:rsidRPr="004819EB" w:rsidRDefault="004819EB" w:rsidP="004819EB">
      <w:pPr>
        <w:spacing w:before="100" w:beforeAutospacing="1" w:after="100" w:afterAutospacing="1" w:line="300" w:lineRule="atLeast"/>
        <w:jc w:val="both"/>
        <w:rPr>
          <w:rFonts w:ascii="Arial" w:eastAsia="Times New Roman" w:hAnsi="Arial" w:cs="Arial"/>
          <w:lang w:eastAsia="ru-RU"/>
        </w:rPr>
      </w:pPr>
      <w:r w:rsidRPr="004819EB">
        <w:rPr>
          <w:rFonts w:ascii="Arial" w:eastAsia="Times New Roman" w:hAnsi="Arial" w:cs="Arial"/>
          <w:lang w:eastAsia="ru-RU"/>
        </w:rPr>
        <w:t xml:space="preserve">Менять страховщика, </w:t>
      </w:r>
      <w:proofErr w:type="gramStart"/>
      <w:r w:rsidRPr="004819EB">
        <w:rPr>
          <w:rFonts w:ascii="Arial" w:eastAsia="Times New Roman" w:hAnsi="Arial" w:cs="Arial"/>
          <w:lang w:eastAsia="ru-RU"/>
        </w:rPr>
        <w:t>переводя свои пенсионные накопления из Пенсионного фонда Российской Федерации в негосударственный пенсионный фонд чаще одного раза в пять</w:t>
      </w:r>
      <w:proofErr w:type="gramEnd"/>
      <w:r w:rsidRPr="004819EB">
        <w:rPr>
          <w:rFonts w:ascii="Arial" w:eastAsia="Times New Roman" w:hAnsi="Arial" w:cs="Arial"/>
          <w:lang w:eastAsia="ru-RU"/>
        </w:rPr>
        <w:t xml:space="preserve"> лет (то есть досрочно), невыгодно. Такой переход повлечет за собой уменьшение суммы пенсионных накоплений гражданина, кроме досрочного перехода в год пятилетней фиксации.</w:t>
      </w:r>
    </w:p>
    <w:p w:rsidR="004819EB" w:rsidRPr="004819EB" w:rsidRDefault="004819EB" w:rsidP="004819EB">
      <w:pPr>
        <w:spacing w:before="100" w:beforeAutospacing="1" w:after="100" w:afterAutospacing="1" w:line="300" w:lineRule="atLeast"/>
        <w:jc w:val="both"/>
        <w:rPr>
          <w:rFonts w:ascii="Arial" w:eastAsia="Times New Roman" w:hAnsi="Arial" w:cs="Arial"/>
          <w:lang w:eastAsia="ru-RU"/>
        </w:rPr>
      </w:pPr>
      <w:r w:rsidRPr="004819EB">
        <w:rPr>
          <w:rFonts w:ascii="Arial" w:eastAsia="Times New Roman" w:hAnsi="Arial" w:cs="Arial"/>
          <w:lang w:eastAsia="ru-RU"/>
        </w:rPr>
        <w:t>Первая пятилетняя фиксация осуществляется в следующие сроки:</w:t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750"/>
        <w:gridCol w:w="4635"/>
      </w:tblGrid>
      <w:tr w:rsidR="004819EB" w:rsidRPr="004819EB" w:rsidTr="004819EB">
        <w:tc>
          <w:tcPr>
            <w:tcW w:w="0" w:type="auto"/>
            <w:vAlign w:val="center"/>
            <w:hideMark/>
          </w:tcPr>
          <w:p w:rsidR="004819EB" w:rsidRPr="004819EB" w:rsidRDefault="004819EB" w:rsidP="004819EB">
            <w:pPr>
              <w:spacing w:before="100" w:beforeAutospacing="1" w:after="100" w:afterAutospacing="1" w:line="300" w:lineRule="atLeas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4819EB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Год, с которого страховщик (ПФР) стал текущим страховщиком для застрахованного лица</w:t>
            </w:r>
          </w:p>
        </w:tc>
        <w:tc>
          <w:tcPr>
            <w:tcW w:w="0" w:type="auto"/>
            <w:vAlign w:val="center"/>
            <w:hideMark/>
          </w:tcPr>
          <w:p w:rsidR="004819EB" w:rsidRPr="004819EB" w:rsidRDefault="004819EB" w:rsidP="004819EB">
            <w:pPr>
              <w:spacing w:before="100" w:beforeAutospacing="1" w:after="100" w:afterAutospacing="1" w:line="300" w:lineRule="atLeas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4819EB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Сроки выполнения ПФР расчета первой пятилетней фиксации средств пенсионных накоплений</w:t>
            </w:r>
          </w:p>
        </w:tc>
      </w:tr>
      <w:tr w:rsidR="004819EB" w:rsidRPr="004819EB" w:rsidTr="004819EB">
        <w:tc>
          <w:tcPr>
            <w:tcW w:w="0" w:type="auto"/>
            <w:vAlign w:val="center"/>
            <w:hideMark/>
          </w:tcPr>
          <w:p w:rsidR="004819EB" w:rsidRPr="004819EB" w:rsidRDefault="004819EB" w:rsidP="004819EB">
            <w:pPr>
              <w:spacing w:before="100" w:beforeAutospacing="1" w:after="100" w:afterAutospacing="1" w:line="300" w:lineRule="atLeas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4819EB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2011 и ранее</w:t>
            </w:r>
          </w:p>
        </w:tc>
        <w:tc>
          <w:tcPr>
            <w:tcW w:w="0" w:type="auto"/>
            <w:vAlign w:val="center"/>
            <w:hideMark/>
          </w:tcPr>
          <w:p w:rsidR="004819EB" w:rsidRPr="004819EB" w:rsidRDefault="004819EB" w:rsidP="004819EB">
            <w:pPr>
              <w:spacing w:before="100" w:beforeAutospacing="1" w:after="100" w:afterAutospacing="1" w:line="300" w:lineRule="atLeas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4819EB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по состоянию на 31 декабря 2015 года</w:t>
            </w:r>
          </w:p>
        </w:tc>
      </w:tr>
      <w:tr w:rsidR="004819EB" w:rsidRPr="004819EB" w:rsidTr="004819EB">
        <w:tc>
          <w:tcPr>
            <w:tcW w:w="0" w:type="auto"/>
            <w:vAlign w:val="center"/>
            <w:hideMark/>
          </w:tcPr>
          <w:p w:rsidR="004819EB" w:rsidRPr="004819EB" w:rsidRDefault="004819EB" w:rsidP="004819EB">
            <w:pPr>
              <w:spacing w:before="100" w:beforeAutospacing="1" w:after="100" w:afterAutospacing="1" w:line="300" w:lineRule="atLeas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4819EB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2012</w:t>
            </w:r>
          </w:p>
        </w:tc>
        <w:tc>
          <w:tcPr>
            <w:tcW w:w="0" w:type="auto"/>
            <w:vAlign w:val="center"/>
            <w:hideMark/>
          </w:tcPr>
          <w:p w:rsidR="004819EB" w:rsidRPr="004819EB" w:rsidRDefault="004819EB" w:rsidP="004819EB">
            <w:pPr>
              <w:spacing w:before="100" w:beforeAutospacing="1" w:after="100" w:afterAutospacing="1" w:line="300" w:lineRule="atLeas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4819EB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по состоянию на 31 декабря 2016 года</w:t>
            </w:r>
          </w:p>
        </w:tc>
      </w:tr>
      <w:tr w:rsidR="004819EB" w:rsidRPr="004819EB" w:rsidTr="004819EB">
        <w:tc>
          <w:tcPr>
            <w:tcW w:w="0" w:type="auto"/>
            <w:vAlign w:val="center"/>
            <w:hideMark/>
          </w:tcPr>
          <w:p w:rsidR="004819EB" w:rsidRPr="004819EB" w:rsidRDefault="004819EB" w:rsidP="004819EB">
            <w:pPr>
              <w:spacing w:before="100" w:beforeAutospacing="1" w:after="100" w:afterAutospacing="1" w:line="300" w:lineRule="atLeas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4819EB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2013</w:t>
            </w:r>
          </w:p>
        </w:tc>
        <w:tc>
          <w:tcPr>
            <w:tcW w:w="0" w:type="auto"/>
            <w:vAlign w:val="center"/>
            <w:hideMark/>
          </w:tcPr>
          <w:p w:rsidR="004819EB" w:rsidRPr="004819EB" w:rsidRDefault="004819EB" w:rsidP="004819EB">
            <w:pPr>
              <w:spacing w:before="100" w:beforeAutospacing="1" w:after="100" w:afterAutospacing="1" w:line="300" w:lineRule="atLeas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4819EB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по состоянию на 31 декабря 2017 года</w:t>
            </w:r>
          </w:p>
        </w:tc>
      </w:tr>
      <w:tr w:rsidR="004819EB" w:rsidRPr="004819EB" w:rsidTr="004819EB">
        <w:tc>
          <w:tcPr>
            <w:tcW w:w="0" w:type="auto"/>
            <w:vAlign w:val="center"/>
            <w:hideMark/>
          </w:tcPr>
          <w:p w:rsidR="004819EB" w:rsidRPr="004819EB" w:rsidRDefault="004819EB" w:rsidP="004819EB">
            <w:pPr>
              <w:spacing w:before="100" w:beforeAutospacing="1" w:after="100" w:afterAutospacing="1" w:line="300" w:lineRule="atLeas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4819EB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lastRenderedPageBreak/>
              <w:t>2014</w:t>
            </w:r>
          </w:p>
        </w:tc>
        <w:tc>
          <w:tcPr>
            <w:tcW w:w="0" w:type="auto"/>
            <w:vAlign w:val="center"/>
            <w:hideMark/>
          </w:tcPr>
          <w:p w:rsidR="004819EB" w:rsidRPr="004819EB" w:rsidRDefault="004819EB" w:rsidP="004819EB">
            <w:pPr>
              <w:spacing w:before="100" w:beforeAutospacing="1" w:after="100" w:afterAutospacing="1" w:line="300" w:lineRule="atLeas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4819EB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по состоянию на 31 декабря 2018 года</w:t>
            </w:r>
          </w:p>
        </w:tc>
      </w:tr>
      <w:tr w:rsidR="004819EB" w:rsidRPr="004819EB" w:rsidTr="004819EB">
        <w:tc>
          <w:tcPr>
            <w:tcW w:w="0" w:type="auto"/>
            <w:vAlign w:val="center"/>
            <w:hideMark/>
          </w:tcPr>
          <w:p w:rsidR="004819EB" w:rsidRPr="004819EB" w:rsidRDefault="004819EB" w:rsidP="004819EB">
            <w:pPr>
              <w:spacing w:before="100" w:beforeAutospacing="1" w:after="100" w:afterAutospacing="1" w:line="300" w:lineRule="atLeas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4819EB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2015</w:t>
            </w:r>
          </w:p>
        </w:tc>
        <w:tc>
          <w:tcPr>
            <w:tcW w:w="0" w:type="auto"/>
            <w:vAlign w:val="center"/>
            <w:hideMark/>
          </w:tcPr>
          <w:p w:rsidR="004819EB" w:rsidRPr="004819EB" w:rsidRDefault="004819EB" w:rsidP="004819EB">
            <w:pPr>
              <w:spacing w:before="100" w:beforeAutospacing="1" w:after="100" w:afterAutospacing="1" w:line="300" w:lineRule="atLeas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4819EB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по состоянию на 31 декабря 2019 года</w:t>
            </w:r>
          </w:p>
        </w:tc>
      </w:tr>
    </w:tbl>
    <w:p w:rsidR="004819EB" w:rsidRPr="004819EB" w:rsidRDefault="004819EB" w:rsidP="004819EB">
      <w:pPr>
        <w:spacing w:before="100" w:beforeAutospacing="1" w:after="100" w:afterAutospacing="1" w:line="300" w:lineRule="atLeast"/>
        <w:jc w:val="both"/>
        <w:rPr>
          <w:rFonts w:ascii="Arial" w:eastAsia="Times New Roman" w:hAnsi="Arial" w:cs="Arial"/>
          <w:lang w:eastAsia="ru-RU"/>
        </w:rPr>
      </w:pPr>
      <w:r w:rsidRPr="004819EB">
        <w:rPr>
          <w:rFonts w:ascii="Arial" w:eastAsia="Times New Roman" w:hAnsi="Arial" w:cs="Arial"/>
          <w:lang w:eastAsia="ru-RU"/>
        </w:rPr>
        <w:t xml:space="preserve">Отражению (фиксации) подлежит фактически сформированные средства пенсионных накоплений, а при наличии отрицательного результата инвестирования в пятилетнем периоде страховщиком производится восполнение на его покрытие до гарантируемой суммы – суммы фактически уплаченных страховых взносов, дополнительных страховых взносов, взносов на </w:t>
      </w:r>
      <w:proofErr w:type="spellStart"/>
      <w:r w:rsidRPr="004819EB">
        <w:rPr>
          <w:rFonts w:ascii="Arial" w:eastAsia="Times New Roman" w:hAnsi="Arial" w:cs="Arial"/>
          <w:lang w:eastAsia="ru-RU"/>
        </w:rPr>
        <w:t>софинансирование</w:t>
      </w:r>
      <w:proofErr w:type="spellEnd"/>
      <w:r w:rsidRPr="004819EB">
        <w:rPr>
          <w:rFonts w:ascii="Arial" w:eastAsia="Times New Roman" w:hAnsi="Arial" w:cs="Arial"/>
          <w:lang w:eastAsia="ru-RU"/>
        </w:rPr>
        <w:t>, средств (части средств) материнского (семейного) капитала, направленных на накопительную пенсию.</w:t>
      </w:r>
    </w:p>
    <w:p w:rsidR="004819EB" w:rsidRPr="004819EB" w:rsidRDefault="004819EB" w:rsidP="004819EB">
      <w:pPr>
        <w:spacing w:before="100" w:beforeAutospacing="1" w:after="100" w:afterAutospacing="1" w:line="300" w:lineRule="atLeast"/>
        <w:jc w:val="both"/>
        <w:rPr>
          <w:rFonts w:ascii="Arial" w:eastAsia="Times New Roman" w:hAnsi="Arial" w:cs="Arial"/>
          <w:lang w:eastAsia="ru-RU"/>
        </w:rPr>
      </w:pPr>
      <w:r w:rsidRPr="004819EB">
        <w:rPr>
          <w:rFonts w:ascii="Arial" w:eastAsia="Times New Roman" w:hAnsi="Arial" w:cs="Arial"/>
          <w:lang w:eastAsia="ru-RU"/>
        </w:rPr>
        <w:t>Аналогичный расчет средств пенсионных накоплений, подлежащих отражению на индивидуальном лицевом счете застрахованного лица, осуществляется текущим страховщиком (ПФР) каждые последующие пять лет.</w:t>
      </w:r>
    </w:p>
    <w:p w:rsidR="0091596E" w:rsidRDefault="004819EB"/>
    <w:sectPr w:rsidR="0091596E" w:rsidSect="00D44C4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4819EB"/>
    <w:rsid w:val="0022663A"/>
    <w:rsid w:val="004819EB"/>
    <w:rsid w:val="00B15088"/>
    <w:rsid w:val="00D44C4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44C4A"/>
  </w:style>
  <w:style w:type="paragraph" w:styleId="1">
    <w:name w:val="heading 1"/>
    <w:basedOn w:val="a"/>
    <w:link w:val="10"/>
    <w:uiPriority w:val="9"/>
    <w:qFormat/>
    <w:rsid w:val="004819EB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link w:val="30"/>
    <w:uiPriority w:val="9"/>
    <w:qFormat/>
    <w:rsid w:val="004819EB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4819EB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4819EB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unhideWhenUsed/>
    <w:rsid w:val="004819E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29375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8818791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9905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33474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118393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11206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28299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469</Words>
  <Characters>2679</Characters>
  <Application>Microsoft Office Word</Application>
  <DocSecurity>0</DocSecurity>
  <Lines>22</Lines>
  <Paragraphs>6</Paragraphs>
  <ScaleCrop>false</ScaleCrop>
  <Company/>
  <LinksUpToDate>false</LinksUpToDate>
  <CharactersWithSpaces>3142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0110040501</dc:creator>
  <cp:lastModifiedBy>0110040501</cp:lastModifiedBy>
  <cp:revision>1</cp:revision>
  <dcterms:created xsi:type="dcterms:W3CDTF">2016-06-16T11:54:00Z</dcterms:created>
  <dcterms:modified xsi:type="dcterms:W3CDTF">2016-06-16T11:57:00Z</dcterms:modified>
</cp:coreProperties>
</file>