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10D" w:rsidRPr="0091110D" w:rsidRDefault="0091110D" w:rsidP="0091110D">
      <w:pPr>
        <w:spacing w:beforeAutospacing="1" w:after="100" w:afterAutospacing="1" w:line="300" w:lineRule="atLeast"/>
        <w:outlineLvl w:val="0"/>
        <w:rPr>
          <w:rFonts w:ascii="Arial" w:eastAsia="Times New Roman" w:hAnsi="Arial" w:cs="Arial"/>
          <w:b/>
          <w:bCs/>
          <w:kern w:val="36"/>
          <w:sz w:val="48"/>
          <w:szCs w:val="48"/>
          <w:lang w:eastAsia="ru-RU"/>
        </w:rPr>
      </w:pPr>
      <w:r w:rsidRPr="0091110D">
        <w:rPr>
          <w:rFonts w:ascii="Arial" w:eastAsia="Times New Roman" w:hAnsi="Arial" w:cs="Arial"/>
          <w:b/>
          <w:bCs/>
          <w:kern w:val="36"/>
          <w:sz w:val="48"/>
          <w:szCs w:val="48"/>
          <w:lang w:eastAsia="ru-RU"/>
        </w:rPr>
        <w:t>Сдавать ли общественным организациям отчётность в ПФР по форме СЗВ-М?</w:t>
      </w:r>
    </w:p>
    <w:p w:rsidR="0091110D" w:rsidRPr="0091110D" w:rsidRDefault="0091110D" w:rsidP="0091110D">
      <w:pPr>
        <w:spacing w:before="100" w:beforeAutospacing="1" w:after="100" w:afterAutospacing="1" w:line="300" w:lineRule="atLeast"/>
        <w:outlineLvl w:val="2"/>
        <w:rPr>
          <w:rFonts w:ascii="Arial" w:eastAsia="Times New Roman" w:hAnsi="Arial" w:cs="Arial"/>
          <w:b/>
          <w:bCs/>
          <w:sz w:val="27"/>
          <w:szCs w:val="27"/>
          <w:lang w:eastAsia="ru-RU"/>
        </w:rPr>
      </w:pPr>
    </w:p>
    <w:p w:rsidR="0091110D" w:rsidRPr="0091110D" w:rsidRDefault="0091110D" w:rsidP="0091110D">
      <w:pPr>
        <w:spacing w:before="100" w:beforeAutospacing="1" w:after="100" w:afterAutospacing="1" w:line="300" w:lineRule="atLeast"/>
        <w:rPr>
          <w:rFonts w:ascii="Arial" w:eastAsia="Times New Roman" w:hAnsi="Arial" w:cs="Arial"/>
          <w:lang w:eastAsia="ru-RU"/>
        </w:rPr>
      </w:pPr>
      <w:r w:rsidRPr="0091110D">
        <w:rPr>
          <w:rFonts w:ascii="Arial" w:eastAsia="Times New Roman" w:hAnsi="Arial" w:cs="Arial"/>
          <w:lang w:eastAsia="ru-RU"/>
        </w:rPr>
        <w:t xml:space="preserve">В 2016 году работодатели Вологодской области начали представлять в Пенсионный фонд новую отчётность по форме СЗВ-М. Она содержит информацию о каждом сотруднике, трудящемся в организации. </w:t>
      </w:r>
      <w:r w:rsidRPr="0091110D">
        <w:rPr>
          <w:rFonts w:ascii="Arial" w:eastAsia="Times New Roman" w:hAnsi="Arial" w:cs="Arial"/>
          <w:lang w:eastAsia="ru-RU"/>
        </w:rPr>
        <w:br/>
        <w:t xml:space="preserve">Ежемесячная отчётность введена в связи с изменением порядка индексации страховых пенсий. С текущего года право на индексацию имеют только неработающие пенсионеры. Факт работы (или ее отсутствия) определяется Пенсионным фондом по сведениям от страхователей (работодателей). На основании этих данных индексация пенсий неработающим пенсионерам проходит в </w:t>
      </w:r>
      <w:proofErr w:type="spellStart"/>
      <w:r w:rsidRPr="0091110D">
        <w:rPr>
          <w:rFonts w:ascii="Arial" w:eastAsia="Times New Roman" w:hAnsi="Arial" w:cs="Arial"/>
          <w:lang w:eastAsia="ru-RU"/>
        </w:rPr>
        <w:t>беззаявительном</w:t>
      </w:r>
      <w:proofErr w:type="spellEnd"/>
      <w:r w:rsidRPr="0091110D">
        <w:rPr>
          <w:rFonts w:ascii="Arial" w:eastAsia="Times New Roman" w:hAnsi="Arial" w:cs="Arial"/>
          <w:lang w:eastAsia="ru-RU"/>
        </w:rPr>
        <w:t xml:space="preserve"> порядке. </w:t>
      </w:r>
      <w:r w:rsidRPr="0091110D">
        <w:rPr>
          <w:rFonts w:ascii="Arial" w:eastAsia="Times New Roman" w:hAnsi="Arial" w:cs="Arial"/>
          <w:lang w:eastAsia="ru-RU"/>
        </w:rPr>
        <w:br/>
        <w:t xml:space="preserve">    Особых разъяснений потребовал отчётный процесс общественных организаций. Необходимость представления в ПФР формы СЗВ-М зависит от факта наличия или отсутствия трудовых или гражданско-правовых отношений между общественным объединением и его участником. Если согласно договору есть выплаты, на которые начисляются и уплачиваются в ПФР страховые взносы на обязательное пенсионное страхование, то необходима сдача отчёта. Также следует учесть, что выплаты, возмещающие расходы на питание, превышающие размеры суточных, предусмотренные пунктом 3 статьи 217 Налогового кодекса РФ, относятся к объекту обложения страховыми взносами. Следовательно, за таких получателей необходимо представлять сведения по форме СЗВ-М. </w:t>
      </w:r>
      <w:r w:rsidRPr="0091110D">
        <w:rPr>
          <w:rFonts w:ascii="Arial" w:eastAsia="Times New Roman" w:hAnsi="Arial" w:cs="Arial"/>
          <w:lang w:eastAsia="ru-RU"/>
        </w:rPr>
        <w:br/>
        <w:t>    В случае отсутствия оформления отношений общественная организация за своего участника не отчитывает</w:t>
      </w:r>
    </w:p>
    <w:p w:rsidR="0091596E" w:rsidRDefault="0091110D"/>
    <w:sectPr w:rsidR="0091596E" w:rsidSect="007321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110D"/>
    <w:rsid w:val="0022663A"/>
    <w:rsid w:val="007321B6"/>
    <w:rsid w:val="0091110D"/>
    <w:rsid w:val="00B15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B6"/>
  </w:style>
  <w:style w:type="paragraph" w:styleId="1">
    <w:name w:val="heading 1"/>
    <w:basedOn w:val="a"/>
    <w:link w:val="10"/>
    <w:uiPriority w:val="9"/>
    <w:qFormat/>
    <w:rsid w:val="009111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91110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110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91110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91110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06149488">
      <w:bodyDiv w:val="1"/>
      <w:marLeft w:val="0"/>
      <w:marRight w:val="0"/>
      <w:marTop w:val="0"/>
      <w:marBottom w:val="0"/>
      <w:divBdr>
        <w:top w:val="none" w:sz="0" w:space="0" w:color="auto"/>
        <w:left w:val="none" w:sz="0" w:space="0" w:color="auto"/>
        <w:bottom w:val="none" w:sz="0" w:space="0" w:color="auto"/>
        <w:right w:val="none" w:sz="0" w:space="0" w:color="auto"/>
      </w:divBdr>
      <w:divsChild>
        <w:div w:id="445583675">
          <w:marLeft w:val="0"/>
          <w:marRight w:val="0"/>
          <w:marTop w:val="100"/>
          <w:marBottom w:val="100"/>
          <w:divBdr>
            <w:top w:val="none" w:sz="0" w:space="0" w:color="auto"/>
            <w:left w:val="none" w:sz="0" w:space="0" w:color="auto"/>
            <w:bottom w:val="none" w:sz="0" w:space="0" w:color="auto"/>
            <w:right w:val="none" w:sz="0" w:space="0" w:color="auto"/>
          </w:divBdr>
          <w:divsChild>
            <w:div w:id="858784891">
              <w:marLeft w:val="0"/>
              <w:marRight w:val="0"/>
              <w:marTop w:val="0"/>
              <w:marBottom w:val="0"/>
              <w:divBdr>
                <w:top w:val="none" w:sz="0" w:space="0" w:color="auto"/>
                <w:left w:val="none" w:sz="0" w:space="0" w:color="auto"/>
                <w:bottom w:val="none" w:sz="0" w:space="0" w:color="auto"/>
                <w:right w:val="none" w:sz="0" w:space="0" w:color="auto"/>
              </w:divBdr>
              <w:divsChild>
                <w:div w:id="1338731739">
                  <w:marLeft w:val="0"/>
                  <w:marRight w:val="0"/>
                  <w:marTop w:val="0"/>
                  <w:marBottom w:val="0"/>
                  <w:divBdr>
                    <w:top w:val="none" w:sz="0" w:space="0" w:color="auto"/>
                    <w:left w:val="none" w:sz="0" w:space="0" w:color="auto"/>
                    <w:bottom w:val="none" w:sz="0" w:space="0" w:color="auto"/>
                    <w:right w:val="none" w:sz="0" w:space="0" w:color="auto"/>
                  </w:divBdr>
                </w:div>
              </w:divsChild>
            </w:div>
            <w:div w:id="1313677301">
              <w:marLeft w:val="0"/>
              <w:marRight w:val="0"/>
              <w:marTop w:val="0"/>
              <w:marBottom w:val="0"/>
              <w:divBdr>
                <w:top w:val="none" w:sz="0" w:space="0" w:color="auto"/>
                <w:left w:val="none" w:sz="0" w:space="0" w:color="auto"/>
                <w:bottom w:val="none" w:sz="0" w:space="0" w:color="auto"/>
                <w:right w:val="none" w:sz="0" w:space="0" w:color="auto"/>
              </w:divBdr>
              <w:divsChild>
                <w:div w:id="1480076360">
                  <w:marLeft w:val="0"/>
                  <w:marRight w:val="0"/>
                  <w:marTop w:val="0"/>
                  <w:marBottom w:val="0"/>
                  <w:divBdr>
                    <w:top w:val="none" w:sz="0" w:space="0" w:color="auto"/>
                    <w:left w:val="none" w:sz="0" w:space="0" w:color="auto"/>
                    <w:bottom w:val="none" w:sz="0" w:space="0" w:color="auto"/>
                    <w:right w:val="none" w:sz="0" w:space="0" w:color="auto"/>
                  </w:divBdr>
                  <w:divsChild>
                    <w:div w:id="157122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217</Words>
  <Characters>1241</Characters>
  <Application>Microsoft Office Word</Application>
  <DocSecurity>0</DocSecurity>
  <Lines>10</Lines>
  <Paragraphs>2</Paragraphs>
  <ScaleCrop>false</ScaleCrop>
  <Company/>
  <LinksUpToDate>false</LinksUpToDate>
  <CharactersWithSpaces>1456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2016-08-04T07:04:00Z</dcterms:created>
  <dcterms:modified xsi:type="dcterms:W3CDTF">2016-08-04T07:05:00Z</dcterms:modified>
</cp:coreProperties>
</file>