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E42" w:rsidRPr="00CA2E42" w:rsidRDefault="00CA2E42" w:rsidP="00CA2E42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CA2E42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НПФ, которым можно доверять </w:t>
      </w:r>
    </w:p>
    <w:p w:rsidR="00CA2E42" w:rsidRPr="00CA2E42" w:rsidRDefault="00CA2E42" w:rsidP="00CA2E42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b/>
          <w:bCs/>
          <w:noProof/>
          <w:color w:val="4DA6E8"/>
          <w:sz w:val="24"/>
          <w:szCs w:val="24"/>
          <w:lang w:eastAsia="ru-RU"/>
        </w:rPr>
        <w:drawing>
          <wp:inline distT="0" distB="0" distL="0" distR="0">
            <wp:extent cx="3009900" cy="2257425"/>
            <wp:effectExtent l="19050" t="0" r="0" b="0"/>
            <wp:docPr id="1" name="Рисунок 1" descr="http://www.pfrf.ru/files/branches/eao/soglashen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eao/soglashenie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25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2E42">
        <w:rPr>
          <w:rFonts w:ascii="Arial" w:eastAsia="Times New Roman" w:hAnsi="Arial" w:cs="Arial"/>
          <w:b/>
          <w:bCs/>
          <w:color w:val="4DA6E8"/>
          <w:sz w:val="26"/>
          <w:szCs w:val="26"/>
          <w:lang w:eastAsia="ru-RU"/>
        </w:rPr>
        <w:t xml:space="preserve">В систему гарантирования прав застрахованных лиц по обязательному пенсионному страхованию вошло 46 негосударственных пенсионных фондов, в которых сформировано 1 989,73 </w:t>
      </w:r>
      <w:proofErr w:type="spellStart"/>
      <w:proofErr w:type="gramStart"/>
      <w:r w:rsidRPr="00CA2E42">
        <w:rPr>
          <w:rFonts w:ascii="Arial" w:eastAsia="Times New Roman" w:hAnsi="Arial" w:cs="Arial"/>
          <w:b/>
          <w:bCs/>
          <w:color w:val="4DA6E8"/>
          <w:sz w:val="26"/>
          <w:szCs w:val="26"/>
          <w:lang w:eastAsia="ru-RU"/>
        </w:rPr>
        <w:t>млрд</w:t>
      </w:r>
      <w:proofErr w:type="spellEnd"/>
      <w:proofErr w:type="gramEnd"/>
      <w:r w:rsidRPr="00CA2E42">
        <w:rPr>
          <w:rFonts w:ascii="Arial" w:eastAsia="Times New Roman" w:hAnsi="Arial" w:cs="Arial"/>
          <w:b/>
          <w:bCs/>
          <w:color w:val="4DA6E8"/>
          <w:sz w:val="26"/>
          <w:szCs w:val="26"/>
          <w:lang w:eastAsia="ru-RU"/>
        </w:rPr>
        <w:t xml:space="preserve"> рублей пенсионных накоплений 29,01 </w:t>
      </w:r>
      <w:proofErr w:type="spellStart"/>
      <w:r w:rsidRPr="00CA2E42">
        <w:rPr>
          <w:rFonts w:ascii="Arial" w:eastAsia="Times New Roman" w:hAnsi="Arial" w:cs="Arial"/>
          <w:b/>
          <w:bCs/>
          <w:color w:val="4DA6E8"/>
          <w:sz w:val="26"/>
          <w:szCs w:val="26"/>
          <w:lang w:eastAsia="ru-RU"/>
        </w:rPr>
        <w:t>млн</w:t>
      </w:r>
      <w:proofErr w:type="spellEnd"/>
      <w:r w:rsidRPr="00CA2E42">
        <w:rPr>
          <w:rFonts w:ascii="Arial" w:eastAsia="Times New Roman" w:hAnsi="Arial" w:cs="Arial"/>
          <w:b/>
          <w:bCs/>
          <w:color w:val="4DA6E8"/>
          <w:sz w:val="26"/>
          <w:szCs w:val="26"/>
          <w:lang w:eastAsia="ru-RU"/>
        </w:rPr>
        <w:t xml:space="preserve"> застрахованных лиц, заключивших договоры об обязательном пенсионном страховании с указанными фондами.  </w:t>
      </w:r>
    </w:p>
    <w:p w:rsidR="00CA2E42" w:rsidRPr="00CA2E42" w:rsidRDefault="00CA2E42" w:rsidP="00CA2E42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CA2E42">
        <w:rPr>
          <w:rFonts w:ascii="Arial" w:eastAsia="Times New Roman" w:hAnsi="Arial" w:cs="Arial"/>
          <w:lang w:eastAsia="ru-RU"/>
        </w:rPr>
        <w:t>Система гарантирования создана в целях обеспечения прав и законных интересов застрахованных лиц в системе обязательного пенсионного страхования Российской Федерации и установления ответственности всех участников рынка обязательного пенсионного страхования за сохранность средств пенсионных накоплений. Для этого в Агентстве по страхованию вкладов создан фонд гарантирования пенсионных накоплений, куда все пенсионные фонды – участники системы гарантирования, отчисляют ежегодные взносы. Из этих сре</w:t>
      </w:r>
      <w:proofErr w:type="gramStart"/>
      <w:r w:rsidRPr="00CA2E42">
        <w:rPr>
          <w:rFonts w:ascii="Arial" w:eastAsia="Times New Roman" w:hAnsi="Arial" w:cs="Arial"/>
          <w:lang w:eastAsia="ru-RU"/>
        </w:rPr>
        <w:t>дств пр</w:t>
      </w:r>
      <w:proofErr w:type="gramEnd"/>
      <w:r w:rsidRPr="00CA2E42">
        <w:rPr>
          <w:rFonts w:ascii="Arial" w:eastAsia="Times New Roman" w:hAnsi="Arial" w:cs="Arial"/>
          <w:lang w:eastAsia="ru-RU"/>
        </w:rPr>
        <w:t xml:space="preserve">и наступлении гарантийного случая (аннулирования лицензии НПФ или недостаточности средств у страховщика на день, с которого застрахованному лицу устанавливается выплата за счет средств пенсионных накоплений и др.) Агентство по страхованию вкладов возмещает недостаток средств пенсионных накоплений. </w:t>
      </w:r>
      <w:r w:rsidRPr="00CA2E42">
        <w:rPr>
          <w:rFonts w:ascii="Arial" w:eastAsia="Times New Roman" w:hAnsi="Arial" w:cs="Arial"/>
          <w:lang w:eastAsia="ru-RU"/>
        </w:rPr>
        <w:br/>
      </w:r>
      <w:r w:rsidRPr="00CA2E42">
        <w:rPr>
          <w:rFonts w:ascii="Arial" w:eastAsia="Times New Roman" w:hAnsi="Arial" w:cs="Arial"/>
          <w:lang w:eastAsia="ru-RU"/>
        </w:rPr>
        <w:br/>
        <w:t xml:space="preserve">По состоянию на 1 июля 2016 года Банк России завершил рассмотрение поданных в установленный законом срок до 31 декабря 2015 года ходатайств негосударственных пенсионных фондов о вынесении заключения о соответствии требованиям к участию в системе гарантирования. Таким образом, можно сделать вывод о завершении формирования списка фондов – участников системы гарантирования. Негосударственные пенсионные фонды, не вошедшие в систему гарантирования, лицензия которых аннулирована или в отношении которых введен запрет на деятельность по ОПС, обязаны передать пенсионные накопления застрахованных лиц в Пенсионный фонд Российской Федерации и прекратить деятельность по обязательному пенсионному страхованию. Страховщиком этих застрахованных лиц становится ПФР, а пенсионные накопления передаются для инвестирования в расширенный портфель инвестиционных бумаг государственной управляющей компании Внешэкономбанк. </w:t>
      </w:r>
      <w:r w:rsidRPr="00CA2E42">
        <w:rPr>
          <w:rFonts w:ascii="Arial" w:eastAsia="Times New Roman" w:hAnsi="Arial" w:cs="Arial"/>
          <w:lang w:eastAsia="ru-RU"/>
        </w:rPr>
        <w:br/>
      </w:r>
      <w:r w:rsidRPr="00CA2E42">
        <w:rPr>
          <w:rFonts w:ascii="Arial" w:eastAsia="Times New Roman" w:hAnsi="Arial" w:cs="Arial"/>
          <w:lang w:eastAsia="ru-RU"/>
        </w:rPr>
        <w:br/>
        <w:t xml:space="preserve">В случае недостаточности средств пенсионных накоплений, передаваемых в ПФР из НПФ, не вошедших в систему гарантирования, Банк России возмещает Пенсионному фонду Российской Федерации недостающие средства до гарантируемой величины </w:t>
      </w:r>
      <w:r w:rsidRPr="00CA2E42">
        <w:rPr>
          <w:rFonts w:ascii="Arial" w:eastAsia="Times New Roman" w:hAnsi="Arial" w:cs="Arial"/>
          <w:lang w:eastAsia="ru-RU"/>
        </w:rPr>
        <w:lastRenderedPageBreak/>
        <w:t xml:space="preserve">средств пенсионных накоплений (номинал страховых взносов). </w:t>
      </w:r>
      <w:r w:rsidRPr="00CA2E42">
        <w:rPr>
          <w:rFonts w:ascii="Arial" w:eastAsia="Times New Roman" w:hAnsi="Arial" w:cs="Arial"/>
          <w:lang w:eastAsia="ru-RU"/>
        </w:rPr>
        <w:br/>
      </w:r>
      <w:r w:rsidRPr="00CA2E42">
        <w:rPr>
          <w:rFonts w:ascii="Arial" w:eastAsia="Times New Roman" w:hAnsi="Arial" w:cs="Arial"/>
          <w:lang w:eastAsia="ru-RU"/>
        </w:rPr>
        <w:br/>
        <w:t>Как не потерять часть пенсионных накоплений?</w:t>
      </w:r>
      <w:r w:rsidRPr="00CA2E42">
        <w:rPr>
          <w:rFonts w:ascii="Arial" w:eastAsia="Times New Roman" w:hAnsi="Arial" w:cs="Arial"/>
          <w:lang w:eastAsia="ru-RU"/>
        </w:rPr>
        <w:br/>
      </w:r>
      <w:r w:rsidRPr="00CA2E42">
        <w:rPr>
          <w:rFonts w:ascii="Arial" w:eastAsia="Times New Roman" w:hAnsi="Arial" w:cs="Arial"/>
          <w:lang w:eastAsia="ru-RU"/>
        </w:rPr>
        <w:br/>
        <w:t xml:space="preserve">Страховщиком застрахованных лиц по ОПС может быть Пенсионный фонд России или негосударственный пенсионный фонд, входящий в систему гарантирования прав застрахованных лиц в системе обязательного пенсионного страхования. ПФР инвестирует пенсионные накопления через государственную управляющую компанию Внешэкономбанк и частные управляющие компании. </w:t>
      </w:r>
      <w:r w:rsidRPr="00CA2E42">
        <w:rPr>
          <w:rFonts w:ascii="Arial" w:eastAsia="Times New Roman" w:hAnsi="Arial" w:cs="Arial"/>
          <w:lang w:eastAsia="ru-RU"/>
        </w:rPr>
        <w:br/>
      </w:r>
      <w:r w:rsidRPr="00CA2E42">
        <w:rPr>
          <w:rFonts w:ascii="Arial" w:eastAsia="Times New Roman" w:hAnsi="Arial" w:cs="Arial"/>
          <w:lang w:eastAsia="ru-RU"/>
        </w:rPr>
        <w:br/>
        <w:t xml:space="preserve">Гражданин, формирующий пенсионные накопления в Пенсионном фонде России, может выбрать одну из управляющих компаний для инвестирования пенсионных накоплений. Смена страховщика происходит только при переходе из одного НПФ в другой, а также при переходе между Пенсионным фондом России и НПФ. При переводе пенсионных накоплений из государственной управляющей компании в </w:t>
      </w:r>
      <w:proofErr w:type="gramStart"/>
      <w:r w:rsidRPr="00CA2E42">
        <w:rPr>
          <w:rFonts w:ascii="Arial" w:eastAsia="Times New Roman" w:hAnsi="Arial" w:cs="Arial"/>
          <w:lang w:eastAsia="ru-RU"/>
        </w:rPr>
        <w:t>частную</w:t>
      </w:r>
      <w:proofErr w:type="gramEnd"/>
      <w:r w:rsidRPr="00CA2E42">
        <w:rPr>
          <w:rFonts w:ascii="Arial" w:eastAsia="Times New Roman" w:hAnsi="Arial" w:cs="Arial"/>
          <w:lang w:eastAsia="ru-RU"/>
        </w:rPr>
        <w:t xml:space="preserve">, а также при выборе другой УК смены страховщика не происходит – им остается Пенсионный фонд России. Пользоваться правом на смену страховщика можно ежегодно. Сменить страховщика можно в следующем году (досрочный переход) или через 5 лет путем подачи заявления о переходе. Смена страховщика чаще одного раза в 5 лет может повлечь потерю инвестиционного дохода, а в случае отрицательного результата инвестирования – уменьшение средств пенсионных накоплений на сумму инвестиционного убытка (исключение составляют застрахованные лица, подавшие заявление о досрочном переходе в год пятилетней фиксации средств пенсионных накоплений текущим страховщиком). </w:t>
      </w:r>
      <w:r w:rsidRPr="00CA2E42">
        <w:rPr>
          <w:rFonts w:ascii="Arial" w:eastAsia="Times New Roman" w:hAnsi="Arial" w:cs="Arial"/>
          <w:lang w:eastAsia="ru-RU"/>
        </w:rPr>
        <w:br/>
      </w:r>
      <w:r w:rsidRPr="00CA2E42">
        <w:rPr>
          <w:rFonts w:ascii="Arial" w:eastAsia="Times New Roman" w:hAnsi="Arial" w:cs="Arial"/>
          <w:lang w:eastAsia="ru-RU"/>
        </w:rPr>
        <w:br/>
        <w:t xml:space="preserve">Однако из 1,007 </w:t>
      </w:r>
      <w:proofErr w:type="spellStart"/>
      <w:proofErr w:type="gramStart"/>
      <w:r w:rsidRPr="00CA2E42">
        <w:rPr>
          <w:rFonts w:ascii="Arial" w:eastAsia="Times New Roman" w:hAnsi="Arial" w:cs="Arial"/>
          <w:lang w:eastAsia="ru-RU"/>
        </w:rPr>
        <w:t>млн</w:t>
      </w:r>
      <w:proofErr w:type="spellEnd"/>
      <w:proofErr w:type="gramEnd"/>
      <w:r w:rsidRPr="00CA2E42">
        <w:rPr>
          <w:rFonts w:ascii="Arial" w:eastAsia="Times New Roman" w:hAnsi="Arial" w:cs="Arial"/>
          <w:lang w:eastAsia="ru-RU"/>
        </w:rPr>
        <w:t xml:space="preserve"> заявлений о смене страховщика, поданных в 2016 году по состоянию на 1 июня, 98% – это заявления о досрочном переходе, из которых почти 470 тыс. – о переходе из одного НПФ в другой, более 505 тыс. – о переходе из ПФР в НПФ. </w:t>
      </w:r>
      <w:r w:rsidRPr="00CA2E42">
        <w:rPr>
          <w:rFonts w:ascii="Arial" w:eastAsia="Times New Roman" w:hAnsi="Arial" w:cs="Arial"/>
          <w:lang w:eastAsia="ru-RU"/>
        </w:rPr>
        <w:br/>
      </w:r>
      <w:r w:rsidRPr="00CA2E42">
        <w:rPr>
          <w:rFonts w:ascii="Arial" w:eastAsia="Times New Roman" w:hAnsi="Arial" w:cs="Arial"/>
          <w:lang w:eastAsia="ru-RU"/>
        </w:rPr>
        <w:br/>
        <w:t>Пенсионный фонд Российской Федерации обращает внимание на особенности расчета средств пенсионных накоплений, подлежащих передаче текущим страховщиком новому страховщику по заявлениям о досрочном переходе, поданным застрахованными лицами в 2016 году:</w:t>
      </w:r>
      <w:r w:rsidRPr="00CA2E42">
        <w:rPr>
          <w:rFonts w:ascii="Arial" w:eastAsia="Times New Roman" w:hAnsi="Arial" w:cs="Arial"/>
          <w:lang w:eastAsia="ru-RU"/>
        </w:rPr>
        <w:br/>
      </w:r>
      <w:r w:rsidRPr="00CA2E42">
        <w:rPr>
          <w:rFonts w:ascii="Arial" w:eastAsia="Times New Roman" w:hAnsi="Arial" w:cs="Arial"/>
          <w:lang w:eastAsia="ru-RU"/>
        </w:rPr>
        <w:br/>
      </w:r>
      <w:r w:rsidRPr="00CA2E42">
        <w:rPr>
          <w:rFonts w:ascii="Arial" w:eastAsia="Times New Roman" w:hAnsi="Arial" w:cs="Arial"/>
          <w:lang w:eastAsia="ru-RU"/>
        </w:rPr>
        <w:br/>
      </w:r>
      <w:r w:rsidRPr="00CA2E42">
        <w:rPr>
          <w:rFonts w:ascii="Arial" w:eastAsia="Times New Roman" w:hAnsi="Arial" w:cs="Arial"/>
          <w:i/>
          <w:iCs/>
          <w:lang w:eastAsia="ru-RU"/>
        </w:rPr>
        <w:t>Перечень НПФ, вошедших в систему гарантирования прав застрахованных лиц в системе обязательного пенсионного страхования:</w:t>
      </w:r>
    </w:p>
    <w:p w:rsidR="00CA2E42" w:rsidRPr="00CA2E42" w:rsidRDefault="00CA2E42" w:rsidP="00CA2E42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CA2E42">
        <w:rPr>
          <w:rFonts w:ascii="Arial" w:eastAsia="Times New Roman" w:hAnsi="Arial" w:cs="Arial"/>
          <w:lang w:eastAsia="ru-RU"/>
        </w:rPr>
        <w:t>АВТОВАЗ НПФ</w:t>
      </w:r>
    </w:p>
    <w:p w:rsidR="00CA2E42" w:rsidRPr="00CA2E42" w:rsidRDefault="00CA2E42" w:rsidP="00CA2E42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CA2E42">
        <w:rPr>
          <w:rFonts w:ascii="Arial" w:eastAsia="Times New Roman" w:hAnsi="Arial" w:cs="Arial"/>
          <w:lang w:eastAsia="ru-RU"/>
        </w:rPr>
        <w:t>Аквилон МНПФ</w:t>
      </w:r>
    </w:p>
    <w:p w:rsidR="00CA2E42" w:rsidRPr="00CA2E42" w:rsidRDefault="00CA2E42" w:rsidP="00CA2E42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CA2E42">
        <w:rPr>
          <w:rFonts w:ascii="Arial" w:eastAsia="Times New Roman" w:hAnsi="Arial" w:cs="Arial"/>
          <w:lang w:eastAsia="ru-RU"/>
        </w:rPr>
        <w:t>Алмазная осень НПФ</w:t>
      </w:r>
    </w:p>
    <w:p w:rsidR="00CA2E42" w:rsidRPr="00CA2E42" w:rsidRDefault="00CA2E42" w:rsidP="00CA2E42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CA2E42">
        <w:rPr>
          <w:rFonts w:ascii="Arial" w:eastAsia="Times New Roman" w:hAnsi="Arial" w:cs="Arial"/>
          <w:lang w:eastAsia="ru-RU"/>
        </w:rPr>
        <w:t>Альянс НПФ</w:t>
      </w:r>
    </w:p>
    <w:p w:rsidR="00CA2E42" w:rsidRPr="00CA2E42" w:rsidRDefault="00CA2E42" w:rsidP="00CA2E42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proofErr w:type="spellStart"/>
      <w:r w:rsidRPr="00CA2E42">
        <w:rPr>
          <w:rFonts w:ascii="Arial" w:eastAsia="Times New Roman" w:hAnsi="Arial" w:cs="Arial"/>
          <w:lang w:eastAsia="ru-RU"/>
        </w:rPr>
        <w:t>Атомфонд</w:t>
      </w:r>
      <w:proofErr w:type="spellEnd"/>
      <w:r w:rsidRPr="00CA2E42">
        <w:rPr>
          <w:rFonts w:ascii="Arial" w:eastAsia="Times New Roman" w:hAnsi="Arial" w:cs="Arial"/>
          <w:lang w:eastAsia="ru-RU"/>
        </w:rPr>
        <w:t xml:space="preserve"> НПФ</w:t>
      </w:r>
    </w:p>
    <w:p w:rsidR="00CA2E42" w:rsidRPr="00CA2E42" w:rsidRDefault="00CA2E42" w:rsidP="00CA2E42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CA2E42">
        <w:rPr>
          <w:rFonts w:ascii="Arial" w:eastAsia="Times New Roman" w:hAnsi="Arial" w:cs="Arial"/>
          <w:lang w:eastAsia="ru-RU"/>
        </w:rPr>
        <w:t>БОЛЬШОЙ МНПФ</w:t>
      </w:r>
    </w:p>
    <w:p w:rsidR="00CA2E42" w:rsidRPr="00CA2E42" w:rsidRDefault="00CA2E42" w:rsidP="00CA2E42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CA2E42">
        <w:rPr>
          <w:rFonts w:ascii="Arial" w:eastAsia="Times New Roman" w:hAnsi="Arial" w:cs="Arial"/>
          <w:lang w:eastAsia="ru-RU"/>
        </w:rPr>
        <w:t>БУДУЩЕЕ НПФ</w:t>
      </w:r>
    </w:p>
    <w:p w:rsidR="00CA2E42" w:rsidRPr="00CA2E42" w:rsidRDefault="00CA2E42" w:rsidP="00CA2E42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CA2E42">
        <w:rPr>
          <w:rFonts w:ascii="Arial" w:eastAsia="Times New Roman" w:hAnsi="Arial" w:cs="Arial"/>
          <w:lang w:eastAsia="ru-RU"/>
        </w:rPr>
        <w:t>Владимир НПФ</w:t>
      </w:r>
    </w:p>
    <w:p w:rsidR="00CA2E42" w:rsidRPr="00CA2E42" w:rsidRDefault="00CA2E42" w:rsidP="00CA2E42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CA2E42">
        <w:rPr>
          <w:rFonts w:ascii="Arial" w:eastAsia="Times New Roman" w:hAnsi="Arial" w:cs="Arial"/>
          <w:lang w:eastAsia="ru-RU"/>
        </w:rPr>
        <w:t>Волга-Капитал НПФ</w:t>
      </w:r>
    </w:p>
    <w:p w:rsidR="00CA2E42" w:rsidRPr="00CA2E42" w:rsidRDefault="00CA2E42" w:rsidP="00CA2E42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CA2E42">
        <w:rPr>
          <w:rFonts w:ascii="Arial" w:eastAsia="Times New Roman" w:hAnsi="Arial" w:cs="Arial"/>
          <w:lang w:eastAsia="ru-RU"/>
        </w:rPr>
        <w:t>ВТБ Пенсионный фонд</w:t>
      </w:r>
    </w:p>
    <w:p w:rsidR="00CA2E42" w:rsidRPr="00CA2E42" w:rsidRDefault="00CA2E42" w:rsidP="00CA2E42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CA2E42">
        <w:rPr>
          <w:rFonts w:ascii="Arial" w:eastAsia="Times New Roman" w:hAnsi="Arial" w:cs="Arial"/>
          <w:lang w:eastAsia="ru-RU"/>
        </w:rPr>
        <w:lastRenderedPageBreak/>
        <w:t>ГАЗФОНД пенсионные накопления</w:t>
      </w:r>
    </w:p>
    <w:p w:rsidR="00CA2E42" w:rsidRPr="00CA2E42" w:rsidRDefault="00CA2E42" w:rsidP="00CA2E42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CA2E42">
        <w:rPr>
          <w:rFonts w:ascii="Arial" w:eastAsia="Times New Roman" w:hAnsi="Arial" w:cs="Arial"/>
          <w:lang w:eastAsia="ru-RU"/>
        </w:rPr>
        <w:t>Гефест НПФ</w:t>
      </w:r>
    </w:p>
    <w:p w:rsidR="00CA2E42" w:rsidRPr="00CA2E42" w:rsidRDefault="00CA2E42" w:rsidP="00CA2E42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CA2E42">
        <w:rPr>
          <w:rFonts w:ascii="Arial" w:eastAsia="Times New Roman" w:hAnsi="Arial" w:cs="Arial"/>
          <w:lang w:eastAsia="ru-RU"/>
        </w:rPr>
        <w:t>Доверие НПФ (АО)</w:t>
      </w:r>
    </w:p>
    <w:p w:rsidR="00CA2E42" w:rsidRPr="00CA2E42" w:rsidRDefault="00CA2E42" w:rsidP="00CA2E42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CA2E42">
        <w:rPr>
          <w:rFonts w:ascii="Arial" w:eastAsia="Times New Roman" w:hAnsi="Arial" w:cs="Arial"/>
          <w:lang w:eastAsia="ru-RU"/>
        </w:rPr>
        <w:t xml:space="preserve">Доверие </w:t>
      </w:r>
      <w:proofErr w:type="gramStart"/>
      <w:r w:rsidRPr="00CA2E42">
        <w:rPr>
          <w:rFonts w:ascii="Arial" w:eastAsia="Times New Roman" w:hAnsi="Arial" w:cs="Arial"/>
          <w:lang w:eastAsia="ru-RU"/>
        </w:rPr>
        <w:t>Оренбургский</w:t>
      </w:r>
      <w:proofErr w:type="gramEnd"/>
      <w:r w:rsidRPr="00CA2E42">
        <w:rPr>
          <w:rFonts w:ascii="Arial" w:eastAsia="Times New Roman" w:hAnsi="Arial" w:cs="Arial"/>
          <w:lang w:eastAsia="ru-RU"/>
        </w:rPr>
        <w:t xml:space="preserve"> НПФ</w:t>
      </w:r>
    </w:p>
    <w:p w:rsidR="00CA2E42" w:rsidRPr="00CA2E42" w:rsidRDefault="00CA2E42" w:rsidP="00CA2E42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CA2E42">
        <w:rPr>
          <w:rFonts w:ascii="Arial" w:eastAsia="Times New Roman" w:hAnsi="Arial" w:cs="Arial"/>
          <w:lang w:eastAsia="ru-RU"/>
        </w:rPr>
        <w:t>Европейский пенсионный фонд</w:t>
      </w:r>
    </w:p>
    <w:p w:rsidR="00CA2E42" w:rsidRPr="00CA2E42" w:rsidRDefault="00CA2E42" w:rsidP="00CA2E42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CA2E42">
        <w:rPr>
          <w:rFonts w:ascii="Arial" w:eastAsia="Times New Roman" w:hAnsi="Arial" w:cs="Arial"/>
          <w:lang w:eastAsia="ru-RU"/>
        </w:rPr>
        <w:t>Капитан НПФ</w:t>
      </w:r>
    </w:p>
    <w:p w:rsidR="00CA2E42" w:rsidRPr="00CA2E42" w:rsidRDefault="00CA2E42" w:rsidP="00CA2E42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proofErr w:type="spellStart"/>
      <w:r w:rsidRPr="00CA2E42">
        <w:rPr>
          <w:rFonts w:ascii="Arial" w:eastAsia="Times New Roman" w:hAnsi="Arial" w:cs="Arial"/>
          <w:lang w:eastAsia="ru-RU"/>
        </w:rPr>
        <w:t>КИТФинанс</w:t>
      </w:r>
      <w:proofErr w:type="spellEnd"/>
      <w:r w:rsidRPr="00CA2E42">
        <w:rPr>
          <w:rFonts w:ascii="Arial" w:eastAsia="Times New Roman" w:hAnsi="Arial" w:cs="Arial"/>
          <w:lang w:eastAsia="ru-RU"/>
        </w:rPr>
        <w:t xml:space="preserve"> НПФ</w:t>
      </w:r>
    </w:p>
    <w:p w:rsidR="00CA2E42" w:rsidRPr="00CA2E42" w:rsidRDefault="00CA2E42" w:rsidP="00CA2E42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CA2E42">
        <w:rPr>
          <w:rFonts w:ascii="Arial" w:eastAsia="Times New Roman" w:hAnsi="Arial" w:cs="Arial"/>
          <w:lang w:eastAsia="ru-RU"/>
        </w:rPr>
        <w:t>ЛУКОЙЛ-ГАРАНТ</w:t>
      </w:r>
    </w:p>
    <w:p w:rsidR="00CA2E42" w:rsidRPr="00CA2E42" w:rsidRDefault="00CA2E42" w:rsidP="00CA2E42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CA2E42">
        <w:rPr>
          <w:rFonts w:ascii="Arial" w:eastAsia="Times New Roman" w:hAnsi="Arial" w:cs="Arial"/>
          <w:lang w:eastAsia="ru-RU"/>
        </w:rPr>
        <w:t>Магнит НПФ</w:t>
      </w:r>
    </w:p>
    <w:p w:rsidR="00CA2E42" w:rsidRPr="00CA2E42" w:rsidRDefault="00CA2E42" w:rsidP="00CA2E42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CA2E42">
        <w:rPr>
          <w:rFonts w:ascii="Arial" w:eastAsia="Times New Roman" w:hAnsi="Arial" w:cs="Arial"/>
          <w:lang w:eastAsia="ru-RU"/>
        </w:rPr>
        <w:t>НАСЛЕДИЕ НПФ</w:t>
      </w:r>
    </w:p>
    <w:p w:rsidR="00CA2E42" w:rsidRPr="00CA2E42" w:rsidRDefault="00CA2E42" w:rsidP="00CA2E42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CA2E42">
        <w:rPr>
          <w:rFonts w:ascii="Arial" w:eastAsia="Times New Roman" w:hAnsi="Arial" w:cs="Arial"/>
          <w:lang w:eastAsia="ru-RU"/>
        </w:rPr>
        <w:t>Национальный НПФ</w:t>
      </w:r>
    </w:p>
    <w:p w:rsidR="00CA2E42" w:rsidRPr="00CA2E42" w:rsidRDefault="00CA2E42" w:rsidP="00CA2E42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CA2E42">
        <w:rPr>
          <w:rFonts w:ascii="Arial" w:eastAsia="Times New Roman" w:hAnsi="Arial" w:cs="Arial"/>
          <w:lang w:eastAsia="ru-RU"/>
        </w:rPr>
        <w:t>НЕФТЕГАРАНТ НПФ</w:t>
      </w:r>
    </w:p>
    <w:p w:rsidR="00CA2E42" w:rsidRPr="00CA2E42" w:rsidRDefault="00CA2E42" w:rsidP="00CA2E42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CA2E42">
        <w:rPr>
          <w:rFonts w:ascii="Arial" w:eastAsia="Times New Roman" w:hAnsi="Arial" w:cs="Arial"/>
          <w:lang w:eastAsia="ru-RU"/>
        </w:rPr>
        <w:t>Оборонно-промышленный фонд им. В.В. Ливанова НПФ</w:t>
      </w:r>
    </w:p>
    <w:p w:rsidR="00CA2E42" w:rsidRPr="00CA2E42" w:rsidRDefault="00CA2E42" w:rsidP="00CA2E42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CA2E42">
        <w:rPr>
          <w:rFonts w:ascii="Arial" w:eastAsia="Times New Roman" w:hAnsi="Arial" w:cs="Arial"/>
          <w:lang w:eastAsia="ru-RU"/>
        </w:rPr>
        <w:t>Образование НПФ</w:t>
      </w:r>
    </w:p>
    <w:p w:rsidR="00CA2E42" w:rsidRPr="00CA2E42" w:rsidRDefault="00CA2E42" w:rsidP="00CA2E42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CA2E42">
        <w:rPr>
          <w:rFonts w:ascii="Arial" w:eastAsia="Times New Roman" w:hAnsi="Arial" w:cs="Arial"/>
          <w:lang w:eastAsia="ru-RU"/>
        </w:rPr>
        <w:t>Образование и наука НПФ</w:t>
      </w:r>
    </w:p>
    <w:p w:rsidR="00CA2E42" w:rsidRPr="00CA2E42" w:rsidRDefault="00CA2E42" w:rsidP="00CA2E42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CA2E42">
        <w:rPr>
          <w:rFonts w:ascii="Arial" w:eastAsia="Times New Roman" w:hAnsi="Arial" w:cs="Arial"/>
          <w:lang w:eastAsia="ru-RU"/>
        </w:rPr>
        <w:t>ОПК НПФ</w:t>
      </w:r>
    </w:p>
    <w:p w:rsidR="00CA2E42" w:rsidRPr="00CA2E42" w:rsidRDefault="00CA2E42" w:rsidP="00CA2E42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CA2E42">
        <w:rPr>
          <w:rFonts w:ascii="Arial" w:eastAsia="Times New Roman" w:hAnsi="Arial" w:cs="Arial"/>
          <w:lang w:eastAsia="ru-RU"/>
        </w:rPr>
        <w:t>Первый промышленный альянс НПФ (АО)</w:t>
      </w:r>
    </w:p>
    <w:p w:rsidR="00CA2E42" w:rsidRPr="00CA2E42" w:rsidRDefault="00CA2E42" w:rsidP="00CA2E42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proofErr w:type="spellStart"/>
      <w:r w:rsidRPr="00CA2E42">
        <w:rPr>
          <w:rFonts w:ascii="Arial" w:eastAsia="Times New Roman" w:hAnsi="Arial" w:cs="Arial"/>
          <w:lang w:eastAsia="ru-RU"/>
        </w:rPr>
        <w:t>Промагрофонд</w:t>
      </w:r>
      <w:proofErr w:type="spellEnd"/>
    </w:p>
    <w:p w:rsidR="00CA2E42" w:rsidRPr="00CA2E42" w:rsidRDefault="00CA2E42" w:rsidP="00CA2E42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CA2E42">
        <w:rPr>
          <w:rFonts w:ascii="Arial" w:eastAsia="Times New Roman" w:hAnsi="Arial" w:cs="Arial"/>
          <w:lang w:eastAsia="ru-RU"/>
        </w:rPr>
        <w:t>Профессиональный НПФ</w:t>
      </w:r>
    </w:p>
    <w:p w:rsidR="00CA2E42" w:rsidRPr="00CA2E42" w:rsidRDefault="00CA2E42" w:rsidP="00CA2E42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CA2E42">
        <w:rPr>
          <w:rFonts w:ascii="Arial" w:eastAsia="Times New Roman" w:hAnsi="Arial" w:cs="Arial"/>
          <w:lang w:eastAsia="ru-RU"/>
        </w:rPr>
        <w:t>РГС НПФ</w:t>
      </w:r>
    </w:p>
    <w:p w:rsidR="00CA2E42" w:rsidRPr="00CA2E42" w:rsidRDefault="00CA2E42" w:rsidP="00CA2E42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CA2E42">
        <w:rPr>
          <w:rFonts w:ascii="Arial" w:eastAsia="Times New Roman" w:hAnsi="Arial" w:cs="Arial"/>
          <w:lang w:eastAsia="ru-RU"/>
        </w:rPr>
        <w:t>РЕГИОНФОНД</w:t>
      </w:r>
    </w:p>
    <w:p w:rsidR="00CA2E42" w:rsidRPr="00CA2E42" w:rsidRDefault="00CA2E42" w:rsidP="00CA2E42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proofErr w:type="spellStart"/>
      <w:r w:rsidRPr="00CA2E42">
        <w:rPr>
          <w:rFonts w:ascii="Arial" w:eastAsia="Times New Roman" w:hAnsi="Arial" w:cs="Arial"/>
          <w:lang w:eastAsia="ru-RU"/>
        </w:rPr>
        <w:t>Роствертол</w:t>
      </w:r>
      <w:proofErr w:type="spellEnd"/>
      <w:r w:rsidRPr="00CA2E42">
        <w:rPr>
          <w:rFonts w:ascii="Arial" w:eastAsia="Times New Roman" w:hAnsi="Arial" w:cs="Arial"/>
          <w:lang w:eastAsia="ru-RU"/>
        </w:rPr>
        <w:t xml:space="preserve"> НПФ</w:t>
      </w:r>
    </w:p>
    <w:p w:rsidR="00CA2E42" w:rsidRPr="00CA2E42" w:rsidRDefault="00CA2E42" w:rsidP="00CA2E42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CA2E42">
        <w:rPr>
          <w:rFonts w:ascii="Arial" w:eastAsia="Times New Roman" w:hAnsi="Arial" w:cs="Arial"/>
          <w:lang w:eastAsia="ru-RU"/>
        </w:rPr>
        <w:t>Русский Стандарт НПФ</w:t>
      </w:r>
    </w:p>
    <w:p w:rsidR="00CA2E42" w:rsidRPr="00CA2E42" w:rsidRDefault="00CA2E42" w:rsidP="00CA2E42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CA2E42">
        <w:rPr>
          <w:rFonts w:ascii="Arial" w:eastAsia="Times New Roman" w:hAnsi="Arial" w:cs="Arial"/>
          <w:lang w:eastAsia="ru-RU"/>
        </w:rPr>
        <w:t>САФМАР НПФ</w:t>
      </w:r>
    </w:p>
    <w:p w:rsidR="00CA2E42" w:rsidRPr="00CA2E42" w:rsidRDefault="00CA2E42" w:rsidP="00CA2E42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CA2E42">
        <w:rPr>
          <w:rFonts w:ascii="Arial" w:eastAsia="Times New Roman" w:hAnsi="Arial" w:cs="Arial"/>
          <w:lang w:eastAsia="ru-RU"/>
        </w:rPr>
        <w:t>Сбербанк НПФ</w:t>
      </w:r>
    </w:p>
    <w:p w:rsidR="00CA2E42" w:rsidRPr="00CA2E42" w:rsidRDefault="00CA2E42" w:rsidP="00CA2E42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CA2E42">
        <w:rPr>
          <w:rFonts w:ascii="Arial" w:eastAsia="Times New Roman" w:hAnsi="Arial" w:cs="Arial"/>
          <w:lang w:eastAsia="ru-RU"/>
        </w:rPr>
        <w:t>Согласие НПФ</w:t>
      </w:r>
    </w:p>
    <w:p w:rsidR="00CA2E42" w:rsidRPr="00CA2E42" w:rsidRDefault="00CA2E42" w:rsidP="00CA2E42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CA2E42">
        <w:rPr>
          <w:rFonts w:ascii="Arial" w:eastAsia="Times New Roman" w:hAnsi="Arial" w:cs="Arial"/>
          <w:lang w:eastAsia="ru-RU"/>
        </w:rPr>
        <w:t>Социальное развитие НПФ (АО)</w:t>
      </w:r>
    </w:p>
    <w:p w:rsidR="00CA2E42" w:rsidRPr="00CA2E42" w:rsidRDefault="00CA2E42" w:rsidP="00CA2E42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CA2E42">
        <w:rPr>
          <w:rFonts w:ascii="Arial" w:eastAsia="Times New Roman" w:hAnsi="Arial" w:cs="Arial"/>
          <w:lang w:eastAsia="ru-RU"/>
        </w:rPr>
        <w:t>Социум НПФ</w:t>
      </w:r>
    </w:p>
    <w:p w:rsidR="00CA2E42" w:rsidRPr="00CA2E42" w:rsidRDefault="00CA2E42" w:rsidP="00CA2E42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proofErr w:type="spellStart"/>
      <w:r w:rsidRPr="00CA2E42">
        <w:rPr>
          <w:rFonts w:ascii="Arial" w:eastAsia="Times New Roman" w:hAnsi="Arial" w:cs="Arial"/>
          <w:lang w:eastAsia="ru-RU"/>
        </w:rPr>
        <w:t>Стройкомплекс</w:t>
      </w:r>
      <w:proofErr w:type="spellEnd"/>
      <w:r w:rsidRPr="00CA2E42">
        <w:rPr>
          <w:rFonts w:ascii="Arial" w:eastAsia="Times New Roman" w:hAnsi="Arial" w:cs="Arial"/>
          <w:lang w:eastAsia="ru-RU"/>
        </w:rPr>
        <w:t xml:space="preserve"> НПФ</w:t>
      </w:r>
    </w:p>
    <w:p w:rsidR="00CA2E42" w:rsidRPr="00CA2E42" w:rsidRDefault="00CA2E42" w:rsidP="00CA2E42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proofErr w:type="spellStart"/>
      <w:r w:rsidRPr="00CA2E42">
        <w:rPr>
          <w:rFonts w:ascii="Arial" w:eastAsia="Times New Roman" w:hAnsi="Arial" w:cs="Arial"/>
          <w:lang w:eastAsia="ru-RU"/>
        </w:rPr>
        <w:t>Сургутнефтегаз</w:t>
      </w:r>
      <w:proofErr w:type="spellEnd"/>
      <w:r w:rsidRPr="00CA2E42">
        <w:rPr>
          <w:rFonts w:ascii="Arial" w:eastAsia="Times New Roman" w:hAnsi="Arial" w:cs="Arial"/>
          <w:lang w:eastAsia="ru-RU"/>
        </w:rPr>
        <w:t xml:space="preserve"> НПФ</w:t>
      </w:r>
    </w:p>
    <w:p w:rsidR="00CA2E42" w:rsidRPr="00CA2E42" w:rsidRDefault="00CA2E42" w:rsidP="00CA2E42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CA2E42">
        <w:rPr>
          <w:rFonts w:ascii="Arial" w:eastAsia="Times New Roman" w:hAnsi="Arial" w:cs="Arial"/>
          <w:lang w:eastAsia="ru-RU"/>
        </w:rPr>
        <w:t>Телеком-Союз НПФ</w:t>
      </w:r>
    </w:p>
    <w:p w:rsidR="00CA2E42" w:rsidRPr="00CA2E42" w:rsidRDefault="00CA2E42" w:rsidP="00CA2E42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proofErr w:type="spellStart"/>
      <w:r w:rsidRPr="00CA2E42">
        <w:rPr>
          <w:rFonts w:ascii="Arial" w:eastAsia="Times New Roman" w:hAnsi="Arial" w:cs="Arial"/>
          <w:lang w:eastAsia="ru-RU"/>
        </w:rPr>
        <w:t>Транснефть</w:t>
      </w:r>
      <w:proofErr w:type="spellEnd"/>
      <w:r w:rsidRPr="00CA2E42">
        <w:rPr>
          <w:rFonts w:ascii="Arial" w:eastAsia="Times New Roman" w:hAnsi="Arial" w:cs="Arial"/>
          <w:lang w:eastAsia="ru-RU"/>
        </w:rPr>
        <w:t xml:space="preserve"> НПФ</w:t>
      </w:r>
    </w:p>
    <w:p w:rsidR="00CA2E42" w:rsidRPr="00CA2E42" w:rsidRDefault="00CA2E42" w:rsidP="00CA2E42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proofErr w:type="spellStart"/>
      <w:r w:rsidRPr="00CA2E42">
        <w:rPr>
          <w:rFonts w:ascii="Arial" w:eastAsia="Times New Roman" w:hAnsi="Arial" w:cs="Arial"/>
          <w:lang w:eastAsia="ru-RU"/>
        </w:rPr>
        <w:t>УГМК-Перспектива</w:t>
      </w:r>
      <w:proofErr w:type="spellEnd"/>
      <w:r w:rsidRPr="00CA2E42">
        <w:rPr>
          <w:rFonts w:ascii="Arial" w:eastAsia="Times New Roman" w:hAnsi="Arial" w:cs="Arial"/>
          <w:lang w:eastAsia="ru-RU"/>
        </w:rPr>
        <w:t xml:space="preserve"> НПФ</w:t>
      </w:r>
    </w:p>
    <w:p w:rsidR="00CA2E42" w:rsidRPr="00CA2E42" w:rsidRDefault="00CA2E42" w:rsidP="00CA2E42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CA2E42">
        <w:rPr>
          <w:rFonts w:ascii="Arial" w:eastAsia="Times New Roman" w:hAnsi="Arial" w:cs="Arial"/>
          <w:lang w:eastAsia="ru-RU"/>
        </w:rPr>
        <w:t>УРАЛСИБ НПФ</w:t>
      </w:r>
    </w:p>
    <w:p w:rsidR="00CA2E42" w:rsidRPr="00CA2E42" w:rsidRDefault="00CA2E42" w:rsidP="00CA2E42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CA2E42">
        <w:rPr>
          <w:rFonts w:ascii="Arial" w:eastAsia="Times New Roman" w:hAnsi="Arial" w:cs="Arial"/>
          <w:lang w:eastAsia="ru-RU"/>
        </w:rPr>
        <w:t>Ханты-Мансийский НПФ (АО)</w:t>
      </w:r>
    </w:p>
    <w:p w:rsidR="00CA2E42" w:rsidRPr="00CA2E42" w:rsidRDefault="00CA2E42" w:rsidP="00CA2E42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CA2E42">
        <w:rPr>
          <w:rFonts w:ascii="Arial" w:eastAsia="Times New Roman" w:hAnsi="Arial" w:cs="Arial"/>
          <w:lang w:eastAsia="ru-RU"/>
        </w:rPr>
        <w:t>Электроэнергетики НПФ</w:t>
      </w:r>
    </w:p>
    <w:p w:rsidR="0091596E" w:rsidRDefault="00CA2E42"/>
    <w:sectPr w:rsidR="0091596E" w:rsidSect="00A734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DD30E7"/>
    <w:multiLevelType w:val="multilevel"/>
    <w:tmpl w:val="4D68F3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2E42"/>
    <w:rsid w:val="0022663A"/>
    <w:rsid w:val="00A7340C"/>
    <w:rsid w:val="00B15088"/>
    <w:rsid w:val="00CA2E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40C"/>
  </w:style>
  <w:style w:type="paragraph" w:styleId="1">
    <w:name w:val="heading 1"/>
    <w:basedOn w:val="a"/>
    <w:link w:val="10"/>
    <w:uiPriority w:val="9"/>
    <w:qFormat/>
    <w:rsid w:val="00CA2E4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A2E4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2E4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A2E4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Emphasis"/>
    <w:basedOn w:val="a0"/>
    <w:uiPriority w:val="20"/>
    <w:qFormat/>
    <w:rsid w:val="00CA2E42"/>
    <w:rPr>
      <w:i/>
      <w:iCs/>
    </w:rPr>
  </w:style>
  <w:style w:type="paragraph" w:styleId="a4">
    <w:name w:val="Normal (Web)"/>
    <w:basedOn w:val="a"/>
    <w:uiPriority w:val="99"/>
    <w:semiHidden/>
    <w:unhideWhenUsed/>
    <w:rsid w:val="00CA2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highlight">
    <w:name w:val="text-highlight"/>
    <w:basedOn w:val="a0"/>
    <w:rsid w:val="00CA2E42"/>
    <w:rPr>
      <w:b/>
      <w:bCs/>
      <w:color w:val="4DA6E8"/>
      <w:sz w:val="26"/>
      <w:szCs w:val="26"/>
    </w:rPr>
  </w:style>
  <w:style w:type="character" w:customStyle="1" w:styleId="b-share-form-button4">
    <w:name w:val="b-share-form-button4"/>
    <w:basedOn w:val="a0"/>
    <w:rsid w:val="00CA2E42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  <w:style w:type="paragraph" w:styleId="a5">
    <w:name w:val="Balloon Text"/>
    <w:basedOn w:val="a"/>
    <w:link w:val="a6"/>
    <w:uiPriority w:val="99"/>
    <w:semiHidden/>
    <w:unhideWhenUsed/>
    <w:rsid w:val="00CA2E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A2E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81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7302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87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25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821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490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152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985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68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739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775</Words>
  <Characters>4418</Characters>
  <Application>Microsoft Office Word</Application>
  <DocSecurity>0</DocSecurity>
  <Lines>36</Lines>
  <Paragraphs>10</Paragraphs>
  <ScaleCrop>false</ScaleCrop>
  <Company/>
  <LinksUpToDate>false</LinksUpToDate>
  <CharactersWithSpaces>5183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2016-08-25T07:36:00Z</dcterms:created>
  <dcterms:modified xsi:type="dcterms:W3CDTF">2016-08-25T07:42:00Z</dcterms:modified>
</cp:coreProperties>
</file>